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0C71B7A" w:rsidP="66BFB8DF" w:rsidRDefault="20C71B7A" w14:paraId="2E4267CC" w14:textId="6138173A">
      <w:pPr>
        <w:pStyle w:val="Heading1"/>
        <w:jc w:val="center"/>
        <w:rPr>
          <w:rFonts w:ascii="Times New Roman" w:hAnsi="Times New Roman" w:eastAsia="Times New Roman" w:cs="Times New Roman"/>
          <w:b w:val="0"/>
          <w:bCs w:val="0"/>
          <w:i w:val="0"/>
          <w:iCs w:val="0"/>
          <w:caps w:val="0"/>
          <w:smallCaps w:val="0"/>
          <w:noProof w:val="0"/>
          <w:color w:val="auto"/>
          <w:sz w:val="24"/>
          <w:szCs w:val="24"/>
          <w:lang w:val="en-US"/>
        </w:rPr>
      </w:pPr>
      <w:r w:rsidRPr="66BFB8DF" w:rsidR="01D077B6">
        <w:rPr>
          <w:noProof w:val="0"/>
          <w:lang w:val="en-US"/>
        </w:rPr>
        <w:t>Explanatory Document: Training Frontier LLMs</w:t>
      </w:r>
    </w:p>
    <w:p w:rsidR="20C71B7A" w:rsidP="66BFB8DF" w:rsidRDefault="20C71B7A" w14:paraId="600C4E80" w14:textId="28392030">
      <w:pPr>
        <w:pStyle w:val="Heading2"/>
        <w:rPr>
          <w:rFonts w:ascii="Times New Roman" w:hAnsi="Times New Roman" w:eastAsia="Times New Roman" w:cs="Times New Roman"/>
          <w:b w:val="0"/>
          <w:bCs w:val="0"/>
          <w:i w:val="0"/>
          <w:iCs w:val="0"/>
          <w:caps w:val="0"/>
          <w:smallCaps w:val="0"/>
          <w:noProof w:val="0"/>
          <w:color w:val="auto"/>
          <w:sz w:val="24"/>
          <w:szCs w:val="24"/>
          <w:lang w:val="en-US"/>
        </w:rPr>
      </w:pPr>
      <w:r w:rsidRPr="66BFB8DF" w:rsidR="01D077B6">
        <w:rPr>
          <w:noProof w:val="0"/>
          <w:lang w:val="en-US"/>
        </w:rPr>
        <w:t>Overview</w:t>
      </w:r>
    </w:p>
    <w:p w:rsidR="20C71B7A" w:rsidP="66BFB8DF" w:rsidRDefault="20C71B7A" w14:paraId="329D204C" w14:textId="4AB172F1">
      <w:pPr>
        <w:spacing w:before="120" w:beforeAutospacing="off" w:after="120" w:afterAutospacing="off"/>
        <w:jc w:val="both"/>
        <w:rPr>
          <w:rFonts w:ascii="Georgia" w:hAnsi="Georgia" w:eastAsia="Georgia" w:cs="Georgia"/>
          <w:b w:val="0"/>
          <w:bCs w:val="0"/>
          <w:i w:val="0"/>
          <w:iCs w:val="0"/>
          <w:caps w:val="0"/>
          <w:smallCaps w:val="0"/>
          <w:noProof w:val="0"/>
          <w:color w:val="auto"/>
          <w:sz w:val="24"/>
          <w:szCs w:val="24"/>
          <w:lang w:val="en-US"/>
        </w:rPr>
      </w:pPr>
      <w:r w:rsidRPr="66BFB8DF" w:rsidR="01D077B6">
        <w:rPr>
          <w:rFonts w:ascii="Georgia" w:hAnsi="Georgia" w:eastAsia="Georgia" w:cs="Georgia"/>
          <w:b w:val="0"/>
          <w:bCs w:val="0"/>
          <w:i w:val="0"/>
          <w:iCs w:val="0"/>
          <w:caps w:val="0"/>
          <w:smallCaps w:val="0"/>
          <w:noProof w:val="0"/>
          <w:color w:val="auto"/>
          <w:sz w:val="24"/>
          <w:szCs w:val="24"/>
          <w:lang w:val="en-US"/>
        </w:rPr>
        <w:t>This slide presentation explains how frontier generative AI large language models are trained and why their development requires such substantial resources. The artifact focuses on the full training pipeline, beginning with data collection and preparation and ending with deployment, because a clear sequence is the best way to show how model capability is built over time. It also highlights the main resource categories involved in training modern LLMs: data, compute, energy, and time.</w:t>
      </w:r>
    </w:p>
    <w:p w:rsidR="20C71B7A" w:rsidP="66BFB8DF" w:rsidRDefault="20C71B7A" w14:paraId="71809EE4" w14:textId="12F01D76">
      <w:pPr>
        <w:spacing w:before="240" w:beforeAutospacing="off" w:after="120" w:afterAutospacing="off"/>
        <w:jc w:val="both"/>
        <w:rPr>
          <w:rFonts w:ascii="Georgia" w:hAnsi="Georgia" w:eastAsia="Georgia" w:cs="Georgia"/>
          <w:b w:val="0"/>
          <w:bCs w:val="0"/>
          <w:i w:val="0"/>
          <w:iCs w:val="0"/>
          <w:caps w:val="0"/>
          <w:smallCaps w:val="0"/>
          <w:noProof w:val="0"/>
          <w:color w:val="auto"/>
          <w:sz w:val="24"/>
          <w:szCs w:val="24"/>
          <w:lang w:val="en-US"/>
        </w:rPr>
      </w:pPr>
      <w:r w:rsidRPr="66BFB8DF" w:rsidR="01D077B6">
        <w:rPr>
          <w:rFonts w:ascii="Georgia" w:hAnsi="Georgia" w:eastAsia="Georgia" w:cs="Georgia"/>
          <w:b w:val="0"/>
          <w:bCs w:val="0"/>
          <w:i w:val="0"/>
          <w:iCs w:val="0"/>
          <w:caps w:val="0"/>
          <w:smallCaps w:val="0"/>
          <w:noProof w:val="0"/>
          <w:color w:val="auto"/>
          <w:sz w:val="24"/>
          <w:szCs w:val="24"/>
          <w:lang w:val="en-US"/>
        </w:rPr>
        <w:t>I chose to frame the topic around GPT-4, Claude-class systems, Llama 3, and Gemini because these models represent the current frontier of generative AI and because they illustrate different levels of public transparency about training resources. OpenAI’s GPT-4 report confirms that the model was trained on publicly available internet data and licensed third-party data and then aligned using RLHF, while Meta’s Llama 3 report provides more detailed information about token volume, GPU scale, and training efficiency.</w:t>
      </w:r>
    </w:p>
    <w:p w:rsidR="20C71B7A" w:rsidP="66BFB8DF" w:rsidRDefault="20C71B7A" w14:paraId="247DA17E" w14:textId="3FC8A46F">
      <w:pPr>
        <w:pStyle w:val="Heading2"/>
        <w:rPr>
          <w:rFonts w:ascii="Times New Roman" w:hAnsi="Times New Roman" w:eastAsia="Times New Roman" w:cs="Times New Roman"/>
          <w:b w:val="0"/>
          <w:bCs w:val="0"/>
          <w:i w:val="0"/>
          <w:iCs w:val="0"/>
          <w:caps w:val="0"/>
          <w:smallCaps w:val="0"/>
          <w:noProof w:val="0"/>
          <w:color w:val="auto"/>
          <w:sz w:val="24"/>
          <w:szCs w:val="24"/>
          <w:lang w:val="en-US"/>
        </w:rPr>
      </w:pPr>
      <w:r w:rsidRPr="66BFB8DF" w:rsidR="01D077B6">
        <w:rPr>
          <w:noProof w:val="0"/>
          <w:lang w:val="en-US"/>
        </w:rPr>
        <w:t>Main Points</w:t>
      </w:r>
    </w:p>
    <w:p w:rsidR="20C71B7A" w:rsidP="66BFB8DF" w:rsidRDefault="20C71B7A" w14:paraId="2A33E95A" w14:textId="3EDF686A">
      <w:pPr>
        <w:spacing w:before="120" w:beforeAutospacing="off" w:after="120" w:afterAutospacing="off"/>
        <w:jc w:val="both"/>
        <w:rPr>
          <w:rFonts w:ascii="Georgia" w:hAnsi="Georgia" w:eastAsia="Georgia" w:cs="Georgia"/>
          <w:b w:val="0"/>
          <w:bCs w:val="0"/>
          <w:i w:val="0"/>
          <w:iCs w:val="0"/>
          <w:caps w:val="0"/>
          <w:smallCaps w:val="0"/>
          <w:noProof w:val="0"/>
          <w:color w:val="auto"/>
          <w:sz w:val="24"/>
          <w:szCs w:val="24"/>
          <w:lang w:val="en-US"/>
        </w:rPr>
      </w:pPr>
      <w:r w:rsidRPr="66BFB8DF" w:rsidR="01D077B6">
        <w:rPr>
          <w:rFonts w:ascii="Georgia" w:hAnsi="Georgia" w:eastAsia="Georgia" w:cs="Georgia"/>
          <w:b w:val="0"/>
          <w:bCs w:val="0"/>
          <w:i w:val="0"/>
          <w:iCs w:val="0"/>
          <w:caps w:val="0"/>
          <w:smallCaps w:val="0"/>
          <w:noProof w:val="0"/>
          <w:color w:val="auto"/>
          <w:sz w:val="24"/>
          <w:szCs w:val="24"/>
          <w:lang w:val="en-US"/>
        </w:rPr>
        <w:t>The presentation’s first key message is that LLM training is a pipeline, not a single event. Data must be collected, cleaned, deduplicated, and tokenized before pretraining can begin, and after pretraining the model must be aligned, safety-tested, and deployed with monitoring systems. Presenting the process in order helps the audience understand that each stage depends on the stage before it.</w:t>
      </w:r>
    </w:p>
    <w:p w:rsidR="20C71B7A" w:rsidP="66BFB8DF" w:rsidRDefault="20C71B7A" w14:paraId="219B97A1" w14:textId="5463C36F">
      <w:pPr>
        <w:spacing w:before="240" w:beforeAutospacing="off" w:after="120" w:afterAutospacing="off"/>
        <w:jc w:val="both"/>
        <w:rPr>
          <w:rFonts w:ascii="Georgia" w:hAnsi="Georgia" w:eastAsia="Georgia" w:cs="Georgia"/>
          <w:b w:val="0"/>
          <w:bCs w:val="0"/>
          <w:i w:val="0"/>
          <w:iCs w:val="0"/>
          <w:caps w:val="0"/>
          <w:smallCaps w:val="0"/>
          <w:noProof w:val="0"/>
          <w:color w:val="auto"/>
          <w:sz w:val="24"/>
          <w:szCs w:val="24"/>
          <w:lang w:val="en-US"/>
        </w:rPr>
      </w:pPr>
      <w:r w:rsidRPr="66BFB8DF" w:rsidR="01D077B6">
        <w:rPr>
          <w:rFonts w:ascii="Georgia" w:hAnsi="Georgia" w:eastAsia="Georgia" w:cs="Georgia"/>
          <w:b w:val="0"/>
          <w:bCs w:val="0"/>
          <w:i w:val="0"/>
          <w:iCs w:val="0"/>
          <w:caps w:val="0"/>
          <w:smallCaps w:val="0"/>
          <w:noProof w:val="0"/>
          <w:color w:val="auto"/>
          <w:sz w:val="24"/>
          <w:szCs w:val="24"/>
          <w:lang w:val="en-US"/>
        </w:rPr>
        <w:t>The second key message is that frontier model development depends on four major resource types: datasets, compute power, energy consumption, and time. Datasets contribute scale and coverage, compute enables training at billions or trillions of parameters, energy powers the infrastructure, and time reflects the long experimentation and optimization cycle needed to build and refine the system. These categories were separated visually so the viewer can quickly compare them and see how they work together.</w:t>
      </w:r>
    </w:p>
    <w:p w:rsidR="20C71B7A" w:rsidP="66BFB8DF" w:rsidRDefault="20C71B7A" w14:paraId="485D2E50" w14:textId="610C15CE">
      <w:pPr>
        <w:spacing w:before="240" w:beforeAutospacing="off" w:after="120" w:afterAutospacing="off"/>
        <w:jc w:val="both"/>
        <w:rPr>
          <w:rFonts w:ascii="Georgia" w:hAnsi="Georgia" w:eastAsia="Georgia" w:cs="Georgia"/>
          <w:b w:val="0"/>
          <w:bCs w:val="0"/>
          <w:i w:val="0"/>
          <w:iCs w:val="0"/>
          <w:caps w:val="0"/>
          <w:smallCaps w:val="0"/>
          <w:noProof w:val="0"/>
          <w:color w:val="auto"/>
          <w:sz w:val="24"/>
          <w:szCs w:val="24"/>
          <w:lang w:val="en-US"/>
        </w:rPr>
      </w:pPr>
      <w:r w:rsidRPr="66BFB8DF" w:rsidR="01D077B6">
        <w:rPr>
          <w:rFonts w:ascii="Georgia" w:hAnsi="Georgia" w:eastAsia="Georgia" w:cs="Georgia"/>
          <w:b w:val="0"/>
          <w:bCs w:val="0"/>
          <w:i w:val="0"/>
          <w:iCs w:val="0"/>
          <w:caps w:val="0"/>
          <w:smallCaps w:val="0"/>
          <w:noProof w:val="0"/>
          <w:color w:val="auto"/>
          <w:sz w:val="24"/>
          <w:szCs w:val="24"/>
          <w:lang w:val="en-US"/>
        </w:rPr>
        <w:t>The third key message is that public disclosures vary widely across companies. GPT-4’s technical report deliberately withholds details such as model size, hardware, and full training compute, while Meta discloses that Llama 3 was pretrained on over 15T tokens and trained across custom 24K-GPU clusters with more than 95% effective training time. Anthropic and Google also provide less exact resource detail publicly, which is why the deck uses careful language and avoids overstating any one model’s exact cost when the figures are not fully disclosed.</w:t>
      </w:r>
    </w:p>
    <w:p w:rsidR="20C71B7A" w:rsidP="66BFB8DF" w:rsidRDefault="20C71B7A" w14:paraId="25B6B17D" w14:textId="5C6C11A7">
      <w:pPr>
        <w:pStyle w:val="Heading2"/>
        <w:rPr>
          <w:rFonts w:ascii="Times New Roman" w:hAnsi="Times New Roman" w:eastAsia="Times New Roman" w:cs="Times New Roman"/>
          <w:b w:val="0"/>
          <w:bCs w:val="0"/>
          <w:i w:val="0"/>
          <w:iCs w:val="0"/>
          <w:caps w:val="0"/>
          <w:smallCaps w:val="0"/>
          <w:noProof w:val="0"/>
          <w:color w:val="auto"/>
          <w:sz w:val="24"/>
          <w:szCs w:val="24"/>
          <w:lang w:val="en-US"/>
        </w:rPr>
      </w:pPr>
      <w:r w:rsidRPr="66BFB8DF" w:rsidR="01D077B6">
        <w:rPr>
          <w:noProof w:val="0"/>
          <w:lang w:val="en-US"/>
        </w:rPr>
        <w:t>Design Rationale</w:t>
      </w:r>
    </w:p>
    <w:p w:rsidR="20C71B7A" w:rsidP="66BFB8DF" w:rsidRDefault="20C71B7A" w14:paraId="1CE54A72" w14:textId="025BD644">
      <w:pPr>
        <w:spacing w:before="120" w:beforeAutospacing="off" w:after="120" w:afterAutospacing="off"/>
        <w:jc w:val="both"/>
        <w:rPr>
          <w:rFonts w:ascii="Georgia" w:hAnsi="Georgia" w:eastAsia="Georgia" w:cs="Georgia"/>
          <w:b w:val="0"/>
          <w:bCs w:val="0"/>
          <w:i w:val="0"/>
          <w:iCs w:val="0"/>
          <w:caps w:val="0"/>
          <w:smallCaps w:val="0"/>
          <w:noProof w:val="0"/>
          <w:color w:val="auto"/>
          <w:sz w:val="24"/>
          <w:szCs w:val="24"/>
          <w:lang w:val="en-US"/>
        </w:rPr>
      </w:pPr>
      <w:r w:rsidRPr="66BFB8DF" w:rsidR="01D077B6">
        <w:rPr>
          <w:rFonts w:ascii="Georgia" w:hAnsi="Georgia" w:eastAsia="Georgia" w:cs="Georgia"/>
          <w:b w:val="0"/>
          <w:bCs w:val="0"/>
          <w:i w:val="0"/>
          <w:iCs w:val="0"/>
          <w:caps w:val="0"/>
          <w:smallCaps w:val="0"/>
          <w:noProof w:val="0"/>
          <w:color w:val="auto"/>
          <w:sz w:val="24"/>
          <w:szCs w:val="24"/>
          <w:lang w:val="en-US"/>
        </w:rPr>
        <w:t>I designed the slides to be visually clean, modern, and easy to follow for both technical and nontechnical viewers. The dark theme with purple and cyan accents was chosen to communicate a contemporary AI aesthetic while preserving strong contrast and readability. Cards, icons, and process blocks were used to reduce cognitive load and make the complex topic easier to scan quickly.</w:t>
      </w:r>
    </w:p>
    <w:p w:rsidR="20C71B7A" w:rsidP="66BFB8DF" w:rsidRDefault="20C71B7A" w14:paraId="79B45FD5" w14:textId="16B304A6">
      <w:pPr>
        <w:spacing w:before="240" w:beforeAutospacing="off" w:after="120" w:afterAutospacing="off"/>
        <w:jc w:val="both"/>
        <w:rPr>
          <w:rFonts w:ascii="Georgia" w:hAnsi="Georgia" w:eastAsia="Georgia" w:cs="Georgia"/>
          <w:b w:val="0"/>
          <w:bCs w:val="0"/>
          <w:i w:val="0"/>
          <w:iCs w:val="0"/>
          <w:caps w:val="0"/>
          <w:smallCaps w:val="0"/>
          <w:noProof w:val="0"/>
          <w:color w:val="auto"/>
          <w:sz w:val="24"/>
          <w:szCs w:val="24"/>
          <w:lang w:val="en-US"/>
        </w:rPr>
      </w:pPr>
      <w:r w:rsidRPr="66BFB8DF" w:rsidR="01D077B6">
        <w:rPr>
          <w:rFonts w:ascii="Georgia" w:hAnsi="Georgia" w:eastAsia="Georgia" w:cs="Georgia"/>
          <w:b w:val="0"/>
          <w:bCs w:val="0"/>
          <w:i w:val="0"/>
          <w:iCs w:val="0"/>
          <w:caps w:val="0"/>
          <w:smallCaps w:val="0"/>
          <w:noProof w:val="0"/>
          <w:color w:val="auto"/>
          <w:sz w:val="24"/>
          <w:szCs w:val="24"/>
          <w:lang w:val="en-US"/>
        </w:rPr>
        <w:t>The deck uses a left-to-right training flow because that format best represents cause and effect in model development. I also included a comparison slide for model examples and a cost snapshot slide so the audience can see both the process and the economic implications of the process. This structure strengthens the rubric areas related to clarity, organization, representation of relationships, and comprehensiveness.</w:t>
      </w:r>
    </w:p>
    <w:p w:rsidR="20C71B7A" w:rsidP="66BFB8DF" w:rsidRDefault="20C71B7A" w14:paraId="2DD1651B" w14:textId="2A3C4F6D">
      <w:pPr>
        <w:pStyle w:val="Heading2"/>
        <w:rPr>
          <w:rFonts w:ascii="Times New Roman" w:hAnsi="Times New Roman" w:eastAsia="Times New Roman" w:cs="Times New Roman"/>
          <w:b w:val="0"/>
          <w:bCs w:val="0"/>
          <w:i w:val="0"/>
          <w:iCs w:val="0"/>
          <w:caps w:val="0"/>
          <w:smallCaps w:val="0"/>
          <w:noProof w:val="0"/>
          <w:color w:val="auto"/>
          <w:sz w:val="24"/>
          <w:szCs w:val="24"/>
          <w:lang w:val="en-US"/>
        </w:rPr>
      </w:pPr>
      <w:r w:rsidRPr="66BFB8DF" w:rsidR="01D077B6">
        <w:rPr>
          <w:noProof w:val="0"/>
          <w:lang w:val="en-US"/>
        </w:rPr>
        <w:t>Key Considerations</w:t>
      </w:r>
    </w:p>
    <w:p w:rsidR="20C71B7A" w:rsidP="66BFB8DF" w:rsidRDefault="20C71B7A" w14:paraId="22BF88E1" w14:textId="65C32035">
      <w:pPr>
        <w:spacing w:before="120" w:beforeAutospacing="off" w:after="120" w:afterAutospacing="off"/>
        <w:jc w:val="both"/>
        <w:rPr>
          <w:rFonts w:ascii="Georgia" w:hAnsi="Georgia" w:eastAsia="Georgia" w:cs="Georgia"/>
          <w:b w:val="0"/>
          <w:bCs w:val="0"/>
          <w:i w:val="0"/>
          <w:iCs w:val="0"/>
          <w:caps w:val="0"/>
          <w:smallCaps w:val="0"/>
          <w:noProof w:val="0"/>
          <w:color w:val="auto"/>
          <w:sz w:val="24"/>
          <w:szCs w:val="24"/>
          <w:lang w:val="en-US"/>
        </w:rPr>
      </w:pPr>
      <w:r w:rsidRPr="66BFB8DF" w:rsidR="01D077B6">
        <w:rPr>
          <w:rFonts w:ascii="Georgia" w:hAnsi="Georgia" w:eastAsia="Georgia" w:cs="Georgia"/>
          <w:b w:val="0"/>
          <w:bCs w:val="0"/>
          <w:i w:val="0"/>
          <w:iCs w:val="0"/>
          <w:caps w:val="0"/>
          <w:smallCaps w:val="0"/>
          <w:noProof w:val="0"/>
          <w:color w:val="auto"/>
          <w:sz w:val="24"/>
          <w:szCs w:val="24"/>
          <w:lang w:val="en-US"/>
        </w:rPr>
        <w:t>A major consideration in preparing this artifact was accuracy versus transparency. Frontier AI companies do not all publish the same level of detail, so it was important to use direct disclosures where available and phrase estimates carefully where exact values are not public. For example, GPT-4 is known to use RLHF and licensed plus public data, but its architecture and training compute are not fully disclosed. By contrast, Llama 3 includes public disclosures about token count, GPU usage, and training efficiency, which makes it useful as a concrete example of large-scale training infrastructure.</w:t>
      </w:r>
    </w:p>
    <w:p w:rsidR="20C71B7A" w:rsidP="66BFB8DF" w:rsidRDefault="20C71B7A" w14:paraId="01F5231C" w14:textId="467E22ED">
      <w:pPr>
        <w:spacing w:before="240" w:beforeAutospacing="off" w:after="120" w:afterAutospacing="off"/>
        <w:jc w:val="both"/>
        <w:rPr>
          <w:rFonts w:ascii="Georgia" w:hAnsi="Georgia" w:eastAsia="Georgia" w:cs="Georgia"/>
          <w:b w:val="0"/>
          <w:bCs w:val="0"/>
          <w:i w:val="0"/>
          <w:iCs w:val="0"/>
          <w:caps w:val="0"/>
          <w:smallCaps w:val="0"/>
          <w:noProof w:val="0"/>
          <w:color w:val="auto"/>
          <w:sz w:val="24"/>
          <w:szCs w:val="24"/>
          <w:lang w:val="en-US"/>
        </w:rPr>
      </w:pPr>
      <w:r w:rsidRPr="66BFB8DF" w:rsidR="01D077B6">
        <w:rPr>
          <w:rFonts w:ascii="Georgia" w:hAnsi="Georgia" w:eastAsia="Georgia" w:cs="Georgia"/>
          <w:b w:val="0"/>
          <w:bCs w:val="0"/>
          <w:i w:val="0"/>
          <w:iCs w:val="0"/>
          <w:caps w:val="0"/>
          <w:smallCaps w:val="0"/>
          <w:noProof w:val="0"/>
          <w:color w:val="auto"/>
          <w:sz w:val="24"/>
          <w:szCs w:val="24"/>
          <w:lang w:val="en-US"/>
        </w:rPr>
        <w:t>Another key consideration was energy. Many people focus on model size and performance, but energy is a real part of the training cost and a meaningful part of the environmental and operational burden. For that reason, I gave energy its own dedicated slide and made it visually prominent rather than burying it inside a general cost discussion. That choice helps the audience recognize that energy is not a side issue; it is part of the core training budget.</w:t>
      </w:r>
    </w:p>
    <w:p w:rsidR="20C71B7A" w:rsidP="66BFB8DF" w:rsidRDefault="20C71B7A" w14:paraId="7730A7B8" w14:textId="46BE4383">
      <w:pPr>
        <w:spacing w:before="240" w:beforeAutospacing="off" w:after="120" w:afterAutospacing="off"/>
        <w:jc w:val="both"/>
        <w:rPr>
          <w:rFonts w:ascii="Georgia" w:hAnsi="Georgia" w:eastAsia="Georgia" w:cs="Georgia"/>
          <w:b w:val="0"/>
          <w:bCs w:val="0"/>
          <w:i w:val="0"/>
          <w:iCs w:val="0"/>
          <w:caps w:val="0"/>
          <w:smallCaps w:val="0"/>
          <w:noProof w:val="0"/>
          <w:color w:val="auto"/>
          <w:sz w:val="24"/>
          <w:szCs w:val="24"/>
          <w:lang w:val="en-US"/>
        </w:rPr>
      </w:pPr>
      <w:r w:rsidRPr="66BFB8DF" w:rsidR="01D077B6">
        <w:rPr>
          <w:rFonts w:ascii="Georgia" w:hAnsi="Georgia" w:eastAsia="Georgia" w:cs="Georgia"/>
          <w:b w:val="0"/>
          <w:bCs w:val="0"/>
          <w:i w:val="0"/>
          <w:iCs w:val="0"/>
          <w:caps w:val="0"/>
          <w:smallCaps w:val="0"/>
          <w:noProof w:val="0"/>
          <w:color w:val="auto"/>
          <w:sz w:val="24"/>
          <w:szCs w:val="24"/>
          <w:lang w:val="en-US"/>
        </w:rPr>
        <w:t>I also made sure the presentation includes both technical and economic relationships. The slides explain how data quality affects pretraining, how compute scale affects model capacity, how alignment improves usability and safety, and how infrastructure efficiency affects overall cost and deployment viability. This helps connect the technical training story to practical implications for research, business, and policy.</w:t>
      </w:r>
    </w:p>
    <w:p w:rsidR="20C71B7A" w:rsidP="66BFB8DF" w:rsidRDefault="20C71B7A" w14:paraId="606AF574" w14:textId="6C569F9C">
      <w:pPr>
        <w:pStyle w:val="Heading2"/>
        <w:rPr>
          <w:rFonts w:ascii="Times New Roman" w:hAnsi="Times New Roman" w:eastAsia="Times New Roman" w:cs="Times New Roman"/>
          <w:b w:val="0"/>
          <w:bCs w:val="0"/>
          <w:i w:val="0"/>
          <w:iCs w:val="0"/>
          <w:caps w:val="0"/>
          <w:smallCaps w:val="0"/>
          <w:noProof w:val="0"/>
          <w:color w:val="auto"/>
          <w:sz w:val="24"/>
          <w:szCs w:val="24"/>
          <w:lang w:val="en-US"/>
        </w:rPr>
      </w:pPr>
      <w:r w:rsidRPr="66BFB8DF" w:rsidR="01D077B6">
        <w:rPr>
          <w:noProof w:val="0"/>
          <w:lang w:val="en-US"/>
        </w:rPr>
        <w:t>Reflection</w:t>
      </w:r>
    </w:p>
    <w:p w:rsidR="20C71B7A" w:rsidP="66BFB8DF" w:rsidRDefault="20C71B7A" w14:paraId="75481F5D" w14:textId="2DF19573">
      <w:pPr>
        <w:spacing w:before="120" w:beforeAutospacing="off" w:after="120" w:afterAutospacing="off"/>
        <w:jc w:val="both"/>
        <w:rPr>
          <w:rFonts w:ascii="Georgia" w:hAnsi="Georgia" w:eastAsia="Georgia" w:cs="Georgia"/>
          <w:b w:val="0"/>
          <w:bCs w:val="0"/>
          <w:i w:val="0"/>
          <w:iCs w:val="0"/>
          <w:caps w:val="0"/>
          <w:smallCaps w:val="0"/>
          <w:noProof w:val="0"/>
          <w:color w:val="auto"/>
          <w:sz w:val="24"/>
          <w:szCs w:val="24"/>
          <w:lang w:val="en-US"/>
        </w:rPr>
      </w:pPr>
      <w:r w:rsidRPr="66BFB8DF" w:rsidR="01D077B6">
        <w:rPr>
          <w:rFonts w:ascii="Georgia" w:hAnsi="Georgia" w:eastAsia="Georgia" w:cs="Georgia"/>
          <w:b w:val="0"/>
          <w:bCs w:val="0"/>
          <w:i w:val="0"/>
          <w:iCs w:val="0"/>
          <w:caps w:val="0"/>
          <w:smallCaps w:val="0"/>
          <w:noProof w:val="0"/>
          <w:color w:val="auto"/>
          <w:sz w:val="24"/>
          <w:szCs w:val="24"/>
          <w:lang w:val="en-US"/>
        </w:rPr>
        <w:t>This assignment strengthened my understanding of generative AI as a full-stack engineering problem rather than just a machine learning model. I learned that the final output of an LLM depends on many hidden layers of work, including dataset curation, distributed systems, safety alignment, and hardware planning. I also learned that even when public information is incomplete, it is still possible to build a strong evidence-based explanation by combining official technical reports with reputable research analyses.</w:t>
      </w:r>
    </w:p>
    <w:p w:rsidR="20C71B7A" w:rsidP="66BFB8DF" w:rsidRDefault="20C71B7A" w14:paraId="5B11B8BD" w14:textId="19A807EB">
      <w:pPr>
        <w:spacing w:before="240" w:beforeAutospacing="off" w:after="120" w:afterAutospacing="off"/>
        <w:jc w:val="both"/>
        <w:rPr>
          <w:rFonts w:ascii="Georgia" w:hAnsi="Georgia" w:eastAsia="Georgia" w:cs="Georgia"/>
          <w:b w:val="0"/>
          <w:bCs w:val="0"/>
          <w:i w:val="0"/>
          <w:iCs w:val="0"/>
          <w:caps w:val="0"/>
          <w:smallCaps w:val="0"/>
          <w:noProof w:val="0"/>
          <w:color w:val="auto"/>
          <w:sz w:val="24"/>
          <w:szCs w:val="24"/>
          <w:lang w:val="en-US"/>
        </w:rPr>
      </w:pPr>
      <w:r w:rsidRPr="66BFB8DF" w:rsidR="01D077B6">
        <w:rPr>
          <w:rFonts w:ascii="Georgia" w:hAnsi="Georgia" w:eastAsia="Georgia" w:cs="Georgia"/>
          <w:b w:val="0"/>
          <w:bCs w:val="0"/>
          <w:i w:val="0"/>
          <w:iCs w:val="0"/>
          <w:caps w:val="0"/>
          <w:smallCaps w:val="0"/>
          <w:noProof w:val="0"/>
          <w:color w:val="auto"/>
          <w:sz w:val="24"/>
          <w:szCs w:val="24"/>
          <w:lang w:val="en-US"/>
        </w:rPr>
        <w:t>One challenge was balancing detail with clarity. It would have been easy to overload the slides with technical jargon, but the rubric rewards communication and organization as much as factual depth. I therefore kept the design focused on the most important categories and used short explanatory text that can be understood quickly. That approach makes the artifact more effective as a portfolio piece because it shows that I can communicate technical AI concepts clearly to broad audiences.</w:t>
      </w:r>
    </w:p>
    <w:p w:rsidR="20C71B7A" w:rsidP="66BFB8DF" w:rsidRDefault="20C71B7A" w14:paraId="3A539141" w14:textId="39AB7537">
      <w:pPr>
        <w:pStyle w:val="Heading2"/>
        <w:rPr>
          <w:rFonts w:ascii="Times New Roman" w:hAnsi="Times New Roman" w:eastAsia="Times New Roman" w:cs="Times New Roman"/>
          <w:b w:val="0"/>
          <w:bCs w:val="0"/>
          <w:i w:val="0"/>
          <w:iCs w:val="0"/>
          <w:caps w:val="0"/>
          <w:smallCaps w:val="0"/>
          <w:noProof w:val="0"/>
          <w:color w:val="auto"/>
          <w:sz w:val="24"/>
          <w:szCs w:val="24"/>
          <w:lang w:val="en-US"/>
        </w:rPr>
      </w:pPr>
      <w:r w:rsidRPr="66BFB8DF" w:rsidR="01D077B6">
        <w:rPr>
          <w:noProof w:val="0"/>
          <w:lang w:val="en-US"/>
        </w:rPr>
        <w:t>Conclusion</w:t>
      </w:r>
    </w:p>
    <w:p w:rsidR="20C71B7A" w:rsidP="66BFB8DF" w:rsidRDefault="20C71B7A" w14:paraId="3A537272" w14:textId="2DEE47B8">
      <w:pPr>
        <w:spacing w:before="120" w:beforeAutospacing="off" w:after="120" w:afterAutospacing="off"/>
        <w:jc w:val="both"/>
        <w:rPr>
          <w:rFonts w:ascii="Georgia" w:hAnsi="Georgia" w:eastAsia="Georgia" w:cs="Georgia"/>
          <w:b w:val="0"/>
          <w:bCs w:val="0"/>
          <w:i w:val="0"/>
          <w:iCs w:val="0"/>
          <w:caps w:val="0"/>
          <w:smallCaps w:val="0"/>
          <w:noProof w:val="0"/>
          <w:color w:val="auto"/>
          <w:sz w:val="24"/>
          <w:szCs w:val="24"/>
          <w:lang w:val="en-US"/>
        </w:rPr>
      </w:pPr>
      <w:r w:rsidRPr="66BFB8DF" w:rsidR="01D077B6">
        <w:rPr>
          <w:rFonts w:ascii="Georgia" w:hAnsi="Georgia" w:eastAsia="Georgia" w:cs="Georgia"/>
          <w:b w:val="0"/>
          <w:bCs w:val="0"/>
          <w:i w:val="0"/>
          <w:iCs w:val="0"/>
          <w:caps w:val="0"/>
          <w:smallCaps w:val="0"/>
          <w:noProof w:val="0"/>
          <w:color w:val="auto"/>
          <w:sz w:val="24"/>
          <w:szCs w:val="24"/>
          <w:lang w:val="en-US"/>
        </w:rPr>
        <w:t>Overall, the presentation shows that training frontier LLMs requires large-scale data, expensive compute infrastructure, significant energy use, and substantial time investment. It also shows that model performance is tied to more than architecture alone: performance emerges from the interaction of data quality, scale, optimization, and alignment. The design choices in the slide deck were made to communicate those relationships clearly and professionally while remaining accessible and visually polished.</w:t>
      </w:r>
    </w:p>
    <w:p w:rsidR="20C71B7A" w:rsidP="66BFB8DF" w:rsidRDefault="20C71B7A" w14:paraId="25F32728" w14:textId="27F79520">
      <w:pPr>
        <w:jc w:val="both"/>
        <w:rPr>
          <w:color w:val="auto"/>
        </w:rPr>
      </w:pPr>
    </w:p>
    <w:p w:rsidR="20C71B7A" w:rsidP="20C71B7A" w:rsidRDefault="20C71B7A" w14:paraId="214FB8B6" w14:textId="248A9666">
      <w:pPr>
        <w:jc w:val="both"/>
        <w:rPr>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16678d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90a9a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1fa47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a15f5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06571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d1cb6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181cd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79b7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12b3a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7d1bd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11776D"/>
    <w:rsid w:val="0014F07B"/>
    <w:rsid w:val="01D077B6"/>
    <w:rsid w:val="03C114BD"/>
    <w:rsid w:val="04642112"/>
    <w:rsid w:val="05B5EFAA"/>
    <w:rsid w:val="070E781F"/>
    <w:rsid w:val="08B8BF8C"/>
    <w:rsid w:val="09D23510"/>
    <w:rsid w:val="0A2950A0"/>
    <w:rsid w:val="0AEEF7E4"/>
    <w:rsid w:val="0B5940BC"/>
    <w:rsid w:val="0B7AD7CD"/>
    <w:rsid w:val="0B941949"/>
    <w:rsid w:val="0CC526E0"/>
    <w:rsid w:val="0D3C81E5"/>
    <w:rsid w:val="11B25471"/>
    <w:rsid w:val="1289DDBA"/>
    <w:rsid w:val="12BD0264"/>
    <w:rsid w:val="17ACEB1B"/>
    <w:rsid w:val="19003420"/>
    <w:rsid w:val="19AD58FA"/>
    <w:rsid w:val="1ABD5FCC"/>
    <w:rsid w:val="1E71A0C3"/>
    <w:rsid w:val="1EDEC2FB"/>
    <w:rsid w:val="200F3FA4"/>
    <w:rsid w:val="20B86BC1"/>
    <w:rsid w:val="20C71B7A"/>
    <w:rsid w:val="21D64B07"/>
    <w:rsid w:val="21D64B07"/>
    <w:rsid w:val="2305B0EF"/>
    <w:rsid w:val="23571BB1"/>
    <w:rsid w:val="23D0CAF8"/>
    <w:rsid w:val="24B1F945"/>
    <w:rsid w:val="26B9585E"/>
    <w:rsid w:val="26BF21B6"/>
    <w:rsid w:val="26D606F4"/>
    <w:rsid w:val="26F02EE4"/>
    <w:rsid w:val="28906FD4"/>
    <w:rsid w:val="28E73CDD"/>
    <w:rsid w:val="2991A5A3"/>
    <w:rsid w:val="2AD95BEC"/>
    <w:rsid w:val="2B974947"/>
    <w:rsid w:val="2BE60AA8"/>
    <w:rsid w:val="2C7012C2"/>
    <w:rsid w:val="2CE82F50"/>
    <w:rsid w:val="2D707560"/>
    <w:rsid w:val="301351E6"/>
    <w:rsid w:val="32E62AFD"/>
    <w:rsid w:val="331F54DC"/>
    <w:rsid w:val="33D9C00A"/>
    <w:rsid w:val="3412FD31"/>
    <w:rsid w:val="34AB345C"/>
    <w:rsid w:val="36600E80"/>
    <w:rsid w:val="37CDC631"/>
    <w:rsid w:val="39E1CE81"/>
    <w:rsid w:val="3B637599"/>
    <w:rsid w:val="3C185A2B"/>
    <w:rsid w:val="3F63A14B"/>
    <w:rsid w:val="40FFA854"/>
    <w:rsid w:val="41026EA7"/>
    <w:rsid w:val="41030365"/>
    <w:rsid w:val="4162C73D"/>
    <w:rsid w:val="4359D2F5"/>
    <w:rsid w:val="43AF9649"/>
    <w:rsid w:val="464A6509"/>
    <w:rsid w:val="4772CFB4"/>
    <w:rsid w:val="4836512F"/>
    <w:rsid w:val="491602E7"/>
    <w:rsid w:val="4A849E9D"/>
    <w:rsid w:val="4D11F195"/>
    <w:rsid w:val="4E216359"/>
    <w:rsid w:val="5000C422"/>
    <w:rsid w:val="50B425E5"/>
    <w:rsid w:val="51D293F2"/>
    <w:rsid w:val="51D293F2"/>
    <w:rsid w:val="52393E1B"/>
    <w:rsid w:val="545B44E4"/>
    <w:rsid w:val="54C59530"/>
    <w:rsid w:val="55184290"/>
    <w:rsid w:val="564171E1"/>
    <w:rsid w:val="57022D9F"/>
    <w:rsid w:val="57595870"/>
    <w:rsid w:val="59586C4E"/>
    <w:rsid w:val="59DCAEA8"/>
    <w:rsid w:val="5AA181A7"/>
    <w:rsid w:val="5BFCAAD8"/>
    <w:rsid w:val="5BFCAAD8"/>
    <w:rsid w:val="5CBDB53F"/>
    <w:rsid w:val="6042F02E"/>
    <w:rsid w:val="60BC2EC0"/>
    <w:rsid w:val="60BC2EC0"/>
    <w:rsid w:val="6111776D"/>
    <w:rsid w:val="64036111"/>
    <w:rsid w:val="65ABC46A"/>
    <w:rsid w:val="66BFB8DF"/>
    <w:rsid w:val="68151AFA"/>
    <w:rsid w:val="68BEB7A5"/>
    <w:rsid w:val="6A093C5C"/>
    <w:rsid w:val="6DAAEFD3"/>
    <w:rsid w:val="6E9CE2F0"/>
    <w:rsid w:val="6F5D6A3F"/>
    <w:rsid w:val="72784CFC"/>
    <w:rsid w:val="75836989"/>
    <w:rsid w:val="76EC5BEF"/>
    <w:rsid w:val="76FBF7CA"/>
    <w:rsid w:val="78AF5F9B"/>
    <w:rsid w:val="78AF5F9B"/>
    <w:rsid w:val="78DD77A0"/>
    <w:rsid w:val="7969B82B"/>
    <w:rsid w:val="7979CB70"/>
    <w:rsid w:val="7B113ABC"/>
    <w:rsid w:val="7C36BF92"/>
    <w:rsid w:val="7D733DCC"/>
    <w:rsid w:val="7DAA209B"/>
    <w:rsid w:val="7F5D1EA1"/>
    <w:rsid w:val="7FC0F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91D3C"/>
  <w15:chartTrackingRefBased/>
  <w15:docId w15:val="{37F25960-0987-408F-A118-542B7A0148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AD95BE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AD95BE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AD95BEC"/>
    <w:pPr>
      <w:spacing/>
      <w:ind w:left="720"/>
      <w:contextualSpacing/>
    </w:pPr>
  </w:style>
  <w:style w:type="paragraph" w:styleId="Heading3">
    <w:uiPriority w:val="9"/>
    <w:name w:val="heading 3"/>
    <w:basedOn w:val="Normal"/>
    <w:next w:val="Normal"/>
    <w:unhideWhenUsed/>
    <w:qFormat/>
    <w:rsid w:val="2AD95BE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0C71B7A"/>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20C71B7A"/>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bd9f3dbf2c7440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2026-05-21T16:34:37.8990949Z</dcterms:created>
  <dcterms:modified xsi:type="dcterms:W3CDTF">2026-05-26T22:47:19.1362138Z</dcterms:modified>
  <dc:creator>Laxmi Lahari Naidu Bugata</dc:creator>
  <lastModifiedBy>Laxmi Lahari Naidu Bugata</lastModifiedBy>
</coreProperties>
</file>