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Week 1 &amp; 2 Project Report</w:t>
      </w:r>
    </w:p>
    <w:p>
      <w:pPr>
        <w:spacing w:after="60"/>
      </w:pPr>
      <w:r>
        <w:rPr>
          <w:b/>
          <w:bCs/>
          <w:sz w:val="26"/>
          <w:szCs w:val="26"/>
        </w:rPr>
        <w:t xml:space="preserve">Project 1: Customer Churn Prediction &amp; LTV Engine</w:t>
      </w:r>
    </w:p>
    <w:p>
      <w:pPr>
        <w:spacing w:after="300"/>
      </w:pPr>
      <w:r>
        <w:rPr>
          <w:i/>
          <w:iCs/>
          <w:sz w:val="22"/>
          <w:szCs w:val="22"/>
        </w:rPr>
        <w:t xml:space="preserve">Zaalima Development — Data Analytics Internship Program</w:t>
      </w:r>
    </w:p>
    <w:p>
      <w:pPr>
        <w:pStyle w:val="Heading1"/>
        <w:spacing w:after="180" w:before="320"/>
      </w:pPr>
      <w:r>
        <w:t xml:space="preserve">1. Project Overview</w:t>
      </w:r>
    </w:p>
    <w:p>
      <w:pPr>
        <w:spacing w:after="160"/>
      </w:pPr>
      <w:r>
        <w:rPr>
          <w:sz w:val="22"/>
          <w:szCs w:val="22"/>
        </w:rPr>
        <w:t xml:space="preserve">This project builds a predictive analytics system for a telecom business that identifies customers at high risk of churn (cancellation) and estimates each customer's lifetime value (LTV). The goal is to help retention and marketing teams prioritize the right customers with the right interventions, instead of running generalized, uniform campaigns.</w:t>
      </w:r>
    </w:p>
    <w:p>
      <w:pPr>
        <w:pStyle w:val="Heading2"/>
        <w:spacing w:after="140" w:before="240"/>
      </w:pPr>
      <w:r>
        <w:t xml:space="preserve">Dataset</w:t>
      </w:r>
    </w:p>
    <w:p>
      <w:pPr>
        <w:pStyle w:val="ListParagraph"/>
        <w:numPr>
          <w:ilvl w:val="0"/>
          <w:numId w:val="2"/>
        </w:numPr>
        <w:spacing w:after="80"/>
      </w:pPr>
      <w:r>
        <w:rPr>
          <w:sz w:val="22"/>
          <w:szCs w:val="22"/>
        </w:rPr>
        <w:t xml:space="preserve">Source: Telco Customer Churn Dataset (Kaggle / IBM Watson)</w:t>
      </w:r>
    </w:p>
    <w:p>
      <w:pPr>
        <w:pStyle w:val="ListParagraph"/>
        <w:numPr>
          <w:ilvl w:val="0"/>
          <w:numId w:val="2"/>
        </w:numPr>
        <w:spacing w:after="80"/>
      </w:pPr>
      <w:r>
        <w:rPr>
          <w:sz w:val="22"/>
          <w:szCs w:val="22"/>
        </w:rPr>
        <w:t xml:space="preserve">Size: 7,043 customer records, 21 columns</w:t>
      </w:r>
    </w:p>
    <w:p>
      <w:pPr>
        <w:pStyle w:val="ListParagraph"/>
        <w:numPr>
          <w:ilvl w:val="0"/>
          <w:numId w:val="2"/>
        </w:numPr>
        <w:spacing w:after="80"/>
      </w:pPr>
      <w:r>
        <w:rPr>
          <w:sz w:val="22"/>
          <w:szCs w:val="22"/>
        </w:rPr>
        <w:t xml:space="preserve">Target variable: Churn (Yes/No) — 26.5% of customers churned, 73.5% did not</w:t>
      </w:r>
    </w:p>
    <w:p>
      <w:pPr>
        <w:pStyle w:val="ListParagraph"/>
        <w:numPr>
          <w:ilvl w:val="0"/>
          <w:numId w:val="2"/>
        </w:numPr>
        <w:spacing w:after="80"/>
      </w:pPr>
      <w:r>
        <w:rPr>
          <w:sz w:val="22"/>
          <w:szCs w:val="22"/>
        </w:rPr>
        <w:t xml:space="preserve">Features include: demographics, account tenure, contract type, billing details, and subscribed services</w:t>
      </w:r>
    </w:p>
    <w:p>
      <w:pPr>
        <w:pStyle w:val="Heading2"/>
        <w:spacing w:after="140" w:before="240"/>
      </w:pPr>
      <w:r>
        <w:t xml:space="preserve">Tech Stack Used</w:t>
      </w:r>
    </w:p>
    <w:p>
      <w:pPr>
        <w:pStyle w:val="ListParagraph"/>
        <w:numPr>
          <w:ilvl w:val="0"/>
          <w:numId w:val="2"/>
        </w:numPr>
        <w:spacing w:after="80"/>
      </w:pPr>
      <w:r>
        <w:rPr>
          <w:sz w:val="22"/>
          <w:szCs w:val="22"/>
        </w:rPr>
        <w:t xml:space="preserve">Python, Pandas, Scikit-Learn for data processing and modeling</w:t>
      </w:r>
    </w:p>
    <w:p>
      <w:pPr>
        <w:pStyle w:val="ListParagraph"/>
        <w:numPr>
          <w:ilvl w:val="0"/>
          <w:numId w:val="2"/>
        </w:numPr>
        <w:spacing w:after="80"/>
      </w:pPr>
      <w:r>
        <w:rPr>
          <w:sz w:val="22"/>
          <w:szCs w:val="22"/>
        </w:rPr>
        <w:t xml:space="preserve">PostgreSQL as the data warehouse (via SQLAlchemy)</w:t>
      </w:r>
    </w:p>
    <w:p>
      <w:pPr>
        <w:pStyle w:val="ListParagraph"/>
        <w:numPr>
          <w:ilvl w:val="0"/>
          <w:numId w:val="2"/>
        </w:numPr>
        <w:spacing w:after="80"/>
      </w:pPr>
      <w:r>
        <w:rPr>
          <w:sz w:val="22"/>
          <w:szCs w:val="22"/>
        </w:rPr>
        <w:t xml:space="preserve">Matplotlib / Seaborn for exploratory visualization</w:t>
      </w:r>
    </w:p>
    <w:p>
      <w:pPr>
        <w:pStyle w:val="ListParagraph"/>
        <w:numPr>
          <w:ilvl w:val="0"/>
          <w:numId w:val="2"/>
        </w:numPr>
        <w:spacing w:after="80"/>
      </w:pPr>
      <w:r>
        <w:rPr>
          <w:sz w:val="22"/>
          <w:szCs w:val="22"/>
        </w:rPr>
        <w:t xml:space="preserve">FastAPI planned for Week 3 model serving</w:t>
      </w:r>
    </w:p>
    <w:p>
      <w:pPr>
        <w:pStyle w:val="Heading1"/>
        <w:spacing w:after="180" w:before="320"/>
      </w:pPr>
      <w:r>
        <w:t xml:space="preserve">2. Week 1: Data Ingestion &amp; Exploratory Data Analysis</w:t>
      </w:r>
    </w:p>
    <w:p>
      <w:pPr>
        <w:pStyle w:val="Heading2"/>
        <w:spacing w:after="140" w:before="240"/>
      </w:pPr>
      <w:r>
        <w:t xml:space="preserve">2.1 Data Loading</w:t>
      </w:r>
    </w:p>
    <w:p>
      <w:pPr>
        <w:spacing w:after="160"/>
      </w:pPr>
      <w:r>
        <w:rPr>
          <w:sz w:val="22"/>
          <w:szCs w:val="22"/>
        </w:rPr>
        <w:t xml:space="preserve">The raw CSV was loaded and staged into a PostgreSQL table (customers_raw). No rows were lost during ingestion — the full 7,043 records loaded successfully.</w:t>
      </w:r>
    </w:p>
    <w:p>
      <w:pPr>
        <w:pStyle w:val="Heading2"/>
        <w:spacing w:after="140" w:before="240"/>
      </w:pPr>
      <w:r>
        <w:t xml:space="preserve">2.2 Data Quality Findings</w:t>
      </w:r>
    </w:p>
    <w:p>
      <w:pPr>
        <w:pStyle w:val="ListParagraph"/>
        <w:numPr>
          <w:ilvl w:val="0"/>
          <w:numId w:val="2"/>
        </w:numPr>
        <w:spacing w:after="80"/>
      </w:pPr>
      <w:r>
        <w:rPr>
          <w:sz w:val="22"/>
          <w:szCs w:val="22"/>
        </w:rPr>
        <w:t xml:space="preserve">11 customers had a blank TotalCharges value. All 11 had tenure = 0, meaning they were brand-new customers who had not yet been billed — not a data error.</w:t>
      </w:r>
    </w:p>
    <w:p>
      <w:pPr>
        <w:pStyle w:val="ListParagraph"/>
        <w:numPr>
          <w:ilvl w:val="0"/>
          <w:numId w:val="2"/>
        </w:numPr>
        <w:spacing w:after="80"/>
      </w:pPr>
      <w:r>
        <w:rPr>
          <w:sz w:val="22"/>
          <w:szCs w:val="22"/>
        </w:rPr>
        <w:t xml:space="preserve">No duplicate customer IDs or duplicate rows were found.</w:t>
      </w:r>
    </w:p>
    <w:p>
      <w:pPr>
        <w:pStyle w:val="ListParagraph"/>
        <w:numPr>
          <w:ilvl w:val="0"/>
          <w:numId w:val="2"/>
        </w:numPr>
        <w:spacing w:after="80"/>
      </w:pPr>
      <w:r>
        <w:rPr>
          <w:sz w:val="22"/>
          <w:szCs w:val="22"/>
        </w:rPr>
        <w:t xml:space="preserve">All categorical fields (Contract, PaymentMethod, InternetService, etc.) contained clean, expected values with no stray entries.</w:t>
      </w:r>
    </w:p>
    <w:p>
      <w:pPr>
        <w:pStyle w:val="Heading2"/>
        <w:spacing w:after="140" w:before="240"/>
      </w:pPr>
      <w:r>
        <w:t xml:space="preserve">2.3 Key Exploratory Findings</w:t>
      </w:r>
    </w:p>
    <w:p>
      <w:pPr>
        <w:spacing w:after="120"/>
      </w:pPr>
      <w:r>
        <w:rPr>
          <w:b/>
          <w:bCs/>
          <w:sz w:val="22"/>
          <w:szCs w:val="22"/>
        </w:rPr>
        <w:t xml:space="preserve">Finding 1: Contract type is the strongest visible driver of churn.</w:t>
      </w:r>
    </w:p>
    <w:p>
      <w:pPr>
        <w:spacing w:after="160"/>
      </w:pPr>
      <w:r>
        <w:rPr>
          <w:sz w:val="22"/>
          <w:szCs w:val="22"/>
        </w:rPr>
        <w:t xml:space="preserve">Churn rate by contract type: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D9D9D9" w:val="clear"/>
          </w:tcPr>
          <w:p>
            <w:r>
              <w:rPr>
                <w:b/>
                <w:bCs/>
                <w:sz w:val="20"/>
                <w:szCs w:val="20"/>
              </w:rPr>
              <w:t xml:space="preserve">Contract Type</w:t>
            </w:r>
          </w:p>
        </w:tc>
        <w:tc>
          <w:tcPr>
            <w:tcW w:type="dxa" w:w="3200"/>
            <w:shd w:fill="D9D9D9" w:val="clear"/>
          </w:tcPr>
          <w:p>
            <w:r>
              <w:rPr>
                <w:b/>
                <w:bCs/>
                <w:sz w:val="20"/>
                <w:szCs w:val="20"/>
              </w:rPr>
              <w:t xml:space="preserve">Churn Rate</w:t>
            </w:r>
          </w:p>
        </w:tc>
      </w:tr>
      <w:tr>
        <w:tc>
          <w:tcPr>
            <w:tcW w:type="dxa" w:w="3200"/>
          </w:tcPr>
          <w:p>
            <w:r>
              <w:rPr>
                <w:b w:val="false"/>
                <w:bCs w:val="false"/>
                <w:sz w:val="20"/>
                <w:szCs w:val="20"/>
              </w:rPr>
              <w:t xml:space="preserve">Month-to-month</w:t>
            </w:r>
          </w:p>
        </w:tc>
        <w:tc>
          <w:tcPr>
            <w:tcW w:type="dxa" w:w="3200"/>
          </w:tcPr>
          <w:p>
            <w:r>
              <w:rPr>
                <w:b w:val="false"/>
                <w:bCs w:val="false"/>
                <w:sz w:val="20"/>
                <w:szCs w:val="20"/>
              </w:rPr>
              <w:t xml:space="preserve">42.7%</w:t>
            </w:r>
          </w:p>
        </w:tc>
      </w:tr>
      <w:tr>
        <w:tc>
          <w:tcPr>
            <w:tcW w:type="dxa" w:w="3200"/>
          </w:tcPr>
          <w:p>
            <w:r>
              <w:rPr>
                <w:b w:val="false"/>
                <w:bCs w:val="false"/>
                <w:sz w:val="20"/>
                <w:szCs w:val="20"/>
              </w:rPr>
              <w:t xml:space="preserve">One year</w:t>
            </w:r>
          </w:p>
        </w:tc>
        <w:tc>
          <w:tcPr>
            <w:tcW w:type="dxa" w:w="3200"/>
          </w:tcPr>
          <w:p>
            <w:r>
              <w:rPr>
                <w:b w:val="false"/>
                <w:bCs w:val="false"/>
                <w:sz w:val="20"/>
                <w:szCs w:val="20"/>
              </w:rPr>
              <w:t xml:space="preserve">11.3%</w:t>
            </w:r>
          </w:p>
        </w:tc>
      </w:tr>
      <w:tr>
        <w:tc>
          <w:tcPr>
            <w:tcW w:type="dxa" w:w="3200"/>
          </w:tcPr>
          <w:p>
            <w:r>
              <w:rPr>
                <w:b w:val="false"/>
                <w:bCs w:val="false"/>
                <w:sz w:val="20"/>
                <w:szCs w:val="20"/>
              </w:rPr>
              <w:t xml:space="preserve">Two year</w:t>
            </w:r>
          </w:p>
        </w:tc>
        <w:tc>
          <w:tcPr>
            <w:tcW w:type="dxa" w:w="3200"/>
          </w:tcPr>
          <w:p>
            <w:r>
              <w:rPr>
                <w:b w:val="false"/>
                <w:bCs w:val="false"/>
                <w:sz w:val="20"/>
                <w:szCs w:val="20"/>
              </w:rPr>
              <w:t xml:space="preserve">2.8%</w:t>
            </w:r>
          </w:p>
        </w:tc>
      </w:tr>
    </w:tbl>
    <w:p/>
    <w:p>
      <w:pPr>
        <w:spacing w:after="60" w:before="1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667000"/>
                    </a:xfrm>
                    <a:prstGeom prst="rect">
                      <a:avLst/>
                    </a:prstGeom>
                  </pic:spPr>
                </pic:pic>
              </a:graphicData>
            </a:graphic>
          </wp:inline>
        </w:drawing>
      </w:r>
    </w:p>
    <w:p>
      <w:pPr>
        <w:spacing w:after="220"/>
        <w:jc w:val="center"/>
      </w:pPr>
      <w:r>
        <w:rPr>
          <w:i/>
          <w:iCs/>
          <w:sz w:val="18"/>
          <w:szCs w:val="18"/>
        </w:rPr>
        <w:t xml:space="preserve">Figure 1: Churn count by contract type</w:t>
      </w:r>
    </w:p>
    <w:p>
      <w:pPr>
        <w:spacing w:after="120"/>
      </w:pPr>
      <w:r>
        <w:rPr>
          <w:b/>
          <w:bCs/>
          <w:sz w:val="22"/>
          <w:szCs w:val="22"/>
        </w:rPr>
        <w:t xml:space="preserve">Finding 2: Newer customers churn far more than long-tenured ones.</w:t>
      </w:r>
    </w:p>
    <w:p>
      <w:pPr>
        <w:spacing w:after="160"/>
      </w:pPr>
      <w:r>
        <w:rPr>
          <w:sz w:val="22"/>
          <w:szCs w:val="22"/>
        </w:rPr>
        <w:t xml:space="preserve">Churn is heavily concentrated in the first few months of the customer lifecycle, then drops off sharply as tenure increases — customers who make it past roughly a year are substantially less likely to leave.</w:t>
      </w:r>
    </w:p>
    <w:p>
      <w:pPr>
        <w:spacing w:after="60" w:before="1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67000"/>
                    </a:xfrm>
                    <a:prstGeom prst="rect">
                      <a:avLst/>
                    </a:prstGeom>
                  </pic:spPr>
                </pic:pic>
              </a:graphicData>
            </a:graphic>
          </wp:inline>
        </w:drawing>
      </w:r>
    </w:p>
    <w:p>
      <w:pPr>
        <w:spacing w:after="220"/>
        <w:jc w:val="center"/>
      </w:pPr>
      <w:r>
        <w:rPr>
          <w:i/>
          <w:iCs/>
          <w:sz w:val="18"/>
          <w:szCs w:val="18"/>
        </w:rPr>
        <w:t xml:space="preserve">Figure 2: Tenure distribution split by churn</w:t>
      </w:r>
    </w:p>
    <w:p>
      <w:pPr>
        <w:spacing w:after="120"/>
      </w:pPr>
      <w:r>
        <w:rPr>
          <w:b/>
          <w:bCs/>
          <w:sz w:val="22"/>
          <w:szCs w:val="22"/>
        </w:rPr>
        <w:t xml:space="preserve">Finding 3: Higher monthly charges are associated with higher churn.</w:t>
      </w:r>
    </w:p>
    <w:p>
      <w:pPr>
        <w:spacing w:after="160"/>
      </w:pPr>
      <w:r>
        <w:rPr>
          <w:sz w:val="22"/>
          <w:szCs w:val="22"/>
        </w:rPr>
        <w:t xml:space="preserve">Customers who churned tended to have higher median monthly charges than those who stayed, suggesting price sensitivity plays a role, particularly for customers not locked into longer contracts.</w:t>
      </w:r>
    </w:p>
    <w:p>
      <w:pPr>
        <w:spacing w:after="60" w:before="1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67000"/>
                    </a:xfrm>
                    <a:prstGeom prst="rect">
                      <a:avLst/>
                    </a:prstGeom>
                  </pic:spPr>
                </pic:pic>
              </a:graphicData>
            </a:graphic>
          </wp:inline>
        </w:drawing>
      </w:r>
    </w:p>
    <w:p>
      <w:pPr>
        <w:spacing w:after="220"/>
        <w:jc w:val="center"/>
      </w:pPr>
      <w:r>
        <w:rPr>
          <w:i/>
          <w:iCs/>
          <w:sz w:val="18"/>
          <w:szCs w:val="18"/>
        </w:rPr>
        <w:t xml:space="preserve">Figure 3: Monthly charges by churn status</w:t>
      </w:r>
    </w:p>
    <w:p>
      <w:pPr>
        <w:pStyle w:val="Heading2"/>
        <w:spacing w:after="140" w:before="240"/>
      </w:pPr>
      <w:r>
        <w:t xml:space="preserve">2.4 Data Cleaning &amp; Preparation</w:t>
      </w:r>
    </w:p>
    <w:p>
      <w:pPr>
        <w:pStyle w:val="ListParagraph"/>
        <w:numPr>
          <w:ilvl w:val="0"/>
          <w:numId w:val="2"/>
        </w:numPr>
        <w:spacing w:after="80"/>
      </w:pPr>
      <w:r>
        <w:rPr>
          <w:sz w:val="22"/>
          <w:szCs w:val="22"/>
        </w:rPr>
        <w:t xml:space="preserve">Converted TotalCharges to numeric and filled the 11 blank values with 0</w:t>
      </w:r>
    </w:p>
    <w:p>
      <w:pPr>
        <w:pStyle w:val="ListParagraph"/>
        <w:numPr>
          <w:ilvl w:val="0"/>
          <w:numId w:val="2"/>
        </w:numPr>
        <w:spacing w:after="80"/>
      </w:pPr>
      <w:r>
        <w:rPr>
          <w:sz w:val="22"/>
          <w:szCs w:val="22"/>
        </w:rPr>
        <w:t xml:space="preserve">Dropped customerID (identifier only, not predictive)</w:t>
      </w:r>
    </w:p>
    <w:p>
      <w:pPr>
        <w:pStyle w:val="ListParagraph"/>
        <w:numPr>
          <w:ilvl w:val="0"/>
          <w:numId w:val="2"/>
        </w:numPr>
        <w:spacing w:after="80"/>
      </w:pPr>
      <w:r>
        <w:rPr>
          <w:sz w:val="22"/>
          <w:szCs w:val="22"/>
        </w:rPr>
        <w:t xml:space="preserve">Converted the Churn target to binary (1 = Yes, 0 = No)</w:t>
      </w:r>
    </w:p>
    <w:p>
      <w:pPr>
        <w:pStyle w:val="ListParagraph"/>
        <w:numPr>
          <w:ilvl w:val="0"/>
          <w:numId w:val="2"/>
        </w:numPr>
        <w:spacing w:after="80"/>
      </w:pPr>
      <w:r>
        <w:rPr>
          <w:sz w:val="22"/>
          <w:szCs w:val="22"/>
        </w:rPr>
        <w:t xml:space="preserve">Label-encoded 15 categorical columns into numeric form for modeling</w:t>
      </w:r>
    </w:p>
    <w:p>
      <w:pPr>
        <w:spacing w:after="160"/>
      </w:pPr>
      <w:r>
        <w:rPr>
          <w:sz w:val="22"/>
          <w:szCs w:val="22"/>
        </w:rPr>
        <w:t xml:space="preserve">Output: a clean, fully numeric dataset of 7,043 rows × 20 columns, ready for modeling.</w:t>
      </w:r>
    </w:p>
    <w:p>
      <w:pPr>
        <w:pStyle w:val="Heading1"/>
        <w:spacing w:after="180" w:before="320"/>
      </w:pPr>
      <w:r>
        <w:t xml:space="preserve">3. Week 2: Feature Engineering &amp; Predictive Modeling</w:t>
      </w:r>
    </w:p>
    <w:p>
      <w:pPr>
        <w:pStyle w:val="Heading2"/>
        <w:spacing w:after="140" w:before="240"/>
      </w:pPr>
      <w:r>
        <w:t xml:space="preserve">3.1 Feature Engineering</w:t>
      </w:r>
    </w:p>
    <w:p>
      <w:pPr>
        <w:spacing w:after="160"/>
      </w:pPr>
      <w:r>
        <w:rPr>
          <w:sz w:val="22"/>
          <w:szCs w:val="22"/>
        </w:rPr>
        <w:t xml:space="preserve">Two new features were engineered to capture spending behavior relative to customer lifecycle stage:</w:t>
      </w:r>
    </w:p>
    <w:p>
      <w:pPr>
        <w:pStyle w:val="ListParagraph"/>
        <w:numPr>
          <w:ilvl w:val="0"/>
          <w:numId w:val="2"/>
        </w:numPr>
        <w:spacing w:after="80"/>
      </w:pPr>
      <w:r>
        <w:rPr>
          <w:sz w:val="22"/>
          <w:szCs w:val="22"/>
        </w:rPr>
        <w:t xml:space="preserve">avg_monthly_usage_ratio — total charges relative to tenure</w:t>
      </w:r>
    </w:p>
    <w:p>
      <w:pPr>
        <w:pStyle w:val="ListParagraph"/>
        <w:numPr>
          <w:ilvl w:val="0"/>
          <w:numId w:val="2"/>
        </w:numPr>
        <w:spacing w:after="80"/>
      </w:pPr>
      <w:r>
        <w:rPr>
          <w:sz w:val="22"/>
          <w:szCs w:val="22"/>
        </w:rPr>
        <w:t xml:space="preserve">charge_per_tenure_month — monthly charge relative to how long the customer has been active</w:t>
      </w:r>
    </w:p>
    <w:p>
      <w:pPr>
        <w:spacing w:after="160"/>
      </w:pPr>
      <w:r>
        <w:rPr>
          <w:sz w:val="22"/>
          <w:szCs w:val="22"/>
        </w:rPr>
        <w:t xml:space="preserve">These two engineered features turned out to be the two most predictive features in the final model (see 3.3).</w:t>
      </w:r>
    </w:p>
    <w:p>
      <w:pPr>
        <w:pStyle w:val="Heading2"/>
        <w:spacing w:after="140" w:before="240"/>
      </w:pPr>
      <w:r>
        <w:t xml:space="preserve">3.2 Model Training &amp; Evaluation</w:t>
      </w:r>
    </w:p>
    <w:p>
      <w:pPr>
        <w:spacing w:after="160"/>
      </w:pPr>
      <w:r>
        <w:rPr>
          <w:sz w:val="22"/>
          <w:szCs w:val="22"/>
        </w:rPr>
        <w:t xml:space="preserve">Data was split 80/20 into training and test sets (5,634 / 1,409 customers), stratified to preserve the churn ratio. Two classification models were trained and evaluated: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shd w:fill="D9D9D9" w:val="clear"/>
          </w:tcPr>
          <w:p>
            <w:r>
              <w:rPr>
                <w:b/>
                <w:bCs/>
                <w:sz w:val="20"/>
                <w:szCs w:val="20"/>
              </w:rPr>
              <w:t xml:space="preserve">Model</w:t>
            </w:r>
          </w:p>
        </w:tc>
        <w:tc>
          <w:tcPr>
            <w:tcW w:type="dxa" w:w="1600"/>
            <w:shd w:fill="D9D9D9" w:val="clear"/>
          </w:tcPr>
          <w:p>
            <w:r>
              <w:rPr>
                <w:b/>
                <w:bCs/>
                <w:sz w:val="20"/>
                <w:szCs w:val="20"/>
              </w:rPr>
              <w:t xml:space="preserve">Accuracy</w:t>
            </w:r>
          </w:p>
        </w:tc>
        <w:tc>
          <w:tcPr>
            <w:tcW w:type="dxa" w:w="1800"/>
            <w:shd w:fill="D9D9D9" w:val="clear"/>
          </w:tcPr>
          <w:p>
            <w:r>
              <w:rPr>
                <w:b/>
                <w:bCs/>
                <w:sz w:val="20"/>
                <w:szCs w:val="20"/>
              </w:rPr>
              <w:t xml:space="preserve">Precision (Churn)</w:t>
            </w:r>
          </w:p>
        </w:tc>
        <w:tc>
          <w:tcPr>
            <w:tcW w:type="dxa" w:w="1800"/>
            <w:shd w:fill="D9D9D9" w:val="clear"/>
          </w:tcPr>
          <w:p>
            <w:r>
              <w:rPr>
                <w:b/>
                <w:bCs/>
                <w:sz w:val="20"/>
                <w:szCs w:val="20"/>
              </w:rPr>
              <w:t xml:space="preserve">Recall (Churn)</w:t>
            </w:r>
          </w:p>
        </w:tc>
        <w:tc>
          <w:tcPr>
            <w:tcW w:type="dxa" w:w="1800"/>
            <w:shd w:fill="D9D9D9" w:val="clear"/>
          </w:tcPr>
          <w:p>
            <w:r>
              <w:rPr>
                <w:b/>
                <w:bCs/>
                <w:sz w:val="20"/>
                <w:szCs w:val="20"/>
              </w:rPr>
              <w:t xml:space="preserve">ROC-AUC</w:t>
            </w:r>
          </w:p>
        </w:tc>
      </w:tr>
      <w:tr>
        <w:tc>
          <w:tcPr>
            <w:tcW w:type="dxa" w:w="2400"/>
          </w:tcPr>
          <w:p>
            <w:r>
              <w:rPr>
                <w:b w:val="false"/>
                <w:bCs w:val="false"/>
                <w:sz w:val="20"/>
                <w:szCs w:val="20"/>
              </w:rPr>
              <w:t xml:space="preserve">Logistic Regression</w:t>
            </w:r>
          </w:p>
        </w:tc>
        <w:tc>
          <w:tcPr>
            <w:tcW w:type="dxa" w:w="1600"/>
          </w:tcPr>
          <w:p>
            <w:r>
              <w:rPr>
                <w:b w:val="false"/>
                <w:bCs w:val="false"/>
                <w:sz w:val="20"/>
                <w:szCs w:val="20"/>
              </w:rPr>
              <w:t xml:space="preserve">80%</w:t>
            </w:r>
          </w:p>
        </w:tc>
        <w:tc>
          <w:tcPr>
            <w:tcW w:type="dxa" w:w="1800"/>
          </w:tcPr>
          <w:p>
            <w:r>
              <w:rPr>
                <w:b w:val="false"/>
                <w:bCs w:val="false"/>
                <w:sz w:val="20"/>
                <w:szCs w:val="20"/>
              </w:rPr>
              <w:t xml:space="preserve">0.67</w:t>
            </w:r>
          </w:p>
        </w:tc>
        <w:tc>
          <w:tcPr>
            <w:tcW w:type="dxa" w:w="1800"/>
          </w:tcPr>
          <w:p>
            <w:r>
              <w:rPr>
                <w:b w:val="false"/>
                <w:bCs w:val="false"/>
                <w:sz w:val="20"/>
                <w:szCs w:val="20"/>
              </w:rPr>
              <w:t xml:space="preserve">0.52</w:t>
            </w:r>
          </w:p>
        </w:tc>
        <w:tc>
          <w:tcPr>
            <w:tcW w:type="dxa" w:w="1800"/>
          </w:tcPr>
          <w:p>
            <w:r>
              <w:rPr>
                <w:b w:val="false"/>
                <w:bCs w:val="false"/>
                <w:sz w:val="20"/>
                <w:szCs w:val="20"/>
              </w:rPr>
              <w:t xml:space="preserve">0.8462</w:t>
            </w:r>
          </w:p>
        </w:tc>
      </w:tr>
      <w:tr>
        <w:tc>
          <w:tcPr>
            <w:tcW w:type="dxa" w:w="2400"/>
          </w:tcPr>
          <w:p>
            <w:r>
              <w:rPr>
                <w:b w:val="false"/>
                <w:bCs w:val="false"/>
                <w:sz w:val="20"/>
                <w:szCs w:val="20"/>
              </w:rPr>
              <w:t xml:space="preserve">Random Forest</w:t>
            </w:r>
          </w:p>
        </w:tc>
        <w:tc>
          <w:tcPr>
            <w:tcW w:type="dxa" w:w="1600"/>
          </w:tcPr>
          <w:p>
            <w:r>
              <w:rPr>
                <w:b w:val="false"/>
                <w:bCs w:val="false"/>
                <w:sz w:val="20"/>
                <w:szCs w:val="20"/>
              </w:rPr>
              <w:t xml:space="preserve">79%</w:t>
            </w:r>
          </w:p>
        </w:tc>
        <w:tc>
          <w:tcPr>
            <w:tcW w:type="dxa" w:w="1800"/>
          </w:tcPr>
          <w:p>
            <w:r>
              <w:rPr>
                <w:b w:val="false"/>
                <w:bCs w:val="false"/>
                <w:sz w:val="20"/>
                <w:szCs w:val="20"/>
              </w:rPr>
              <w:t xml:space="preserve">0.63</w:t>
            </w:r>
          </w:p>
        </w:tc>
        <w:tc>
          <w:tcPr>
            <w:tcW w:type="dxa" w:w="1800"/>
          </w:tcPr>
          <w:p>
            <w:r>
              <w:rPr>
                <w:b w:val="false"/>
                <w:bCs w:val="false"/>
                <w:sz w:val="20"/>
                <w:szCs w:val="20"/>
              </w:rPr>
              <w:t xml:space="preserve">0.48</w:t>
            </w:r>
          </w:p>
        </w:tc>
        <w:tc>
          <w:tcPr>
            <w:tcW w:type="dxa" w:w="1800"/>
          </w:tcPr>
          <w:p>
            <w:r>
              <w:rPr>
                <w:b w:val="false"/>
                <w:bCs w:val="false"/>
                <w:sz w:val="20"/>
                <w:szCs w:val="20"/>
              </w:rPr>
              <w:t xml:space="preserve">0.8259</w:t>
            </w:r>
          </w:p>
        </w:tc>
      </w:tr>
    </w:tbl>
    <w:p/>
    <w:p>
      <w:pPr>
        <w:spacing w:after="160"/>
      </w:pPr>
      <w:r>
        <w:rPr>
          <w:sz w:val="22"/>
          <w:szCs w:val="22"/>
        </w:rPr>
        <w:t xml:space="preserve">Logistic Regression performed best on this dataset (ROC-AUC 0.846), showing that churn is driven largely by linear, interpretable relationships (contract length, tenure, charges) rather than complex non-linear interactions.</w:t>
      </w:r>
    </w:p>
    <w:p>
      <w:pPr>
        <w:spacing w:after="120"/>
      </w:pPr>
      <w:r>
        <w:rPr>
          <w:b/>
          <w:bCs/>
          <w:sz w:val="22"/>
          <w:szCs w:val="22"/>
        </w:rPr>
        <w:t xml:space="preserve">Note: XGBoost was planned per the original tech stack but could not be run in this environment; Logistic Regression and Random Forest results above are from a completed, verified run on the full dataset.</w:t>
      </w:r>
    </w:p>
    <w:p>
      <w:pPr>
        <w:pStyle w:val="Heading2"/>
        <w:spacing w:after="140" w:before="240"/>
      </w:pPr>
      <w:r>
        <w:t xml:space="preserve">3.3 Feature Importance (Random Forest, built-in)</w:t>
      </w:r>
    </w:p>
    <w:p>
      <w:pPr>
        <w:spacing w:after="160"/>
      </w:pPr>
      <w:r>
        <w:rPr>
          <w:sz w:val="22"/>
          <w:szCs w:val="22"/>
        </w:rPr>
        <w:t xml:space="preserve">As a first pass, the Random Forest model's built-in feature importances were reviewed:</w:t>
      </w:r>
    </w:p>
    <w:p>
      <w:pPr>
        <w:pStyle w:val="ListParagraph"/>
        <w:numPr>
          <w:ilvl w:val="0"/>
          <w:numId w:val="2"/>
        </w:numPr>
        <w:spacing w:after="80"/>
      </w:pPr>
      <w:r>
        <w:rPr>
          <w:sz w:val="22"/>
          <w:szCs w:val="22"/>
        </w:rPr>
        <w:t xml:space="preserve">charge_per_tenure_month (highest impact)</w:t>
      </w:r>
    </w:p>
    <w:p>
      <w:pPr>
        <w:pStyle w:val="ListParagraph"/>
        <w:numPr>
          <w:ilvl w:val="0"/>
          <w:numId w:val="2"/>
        </w:numPr>
        <w:spacing w:after="80"/>
      </w:pPr>
      <w:r>
        <w:rPr>
          <w:sz w:val="22"/>
          <w:szCs w:val="22"/>
        </w:rPr>
        <w:t xml:space="preserve">avg_monthly_usage_ratio</w:t>
      </w:r>
    </w:p>
    <w:p>
      <w:pPr>
        <w:pStyle w:val="ListParagraph"/>
        <w:numPr>
          <w:ilvl w:val="0"/>
          <w:numId w:val="2"/>
        </w:numPr>
        <w:spacing w:after="80"/>
      </w:pPr>
      <w:r>
        <w:rPr>
          <w:sz w:val="22"/>
          <w:szCs w:val="22"/>
        </w:rPr>
        <w:t xml:space="preserve">TotalCharges</w:t>
      </w:r>
    </w:p>
    <w:p>
      <w:pPr>
        <w:pStyle w:val="ListParagraph"/>
        <w:numPr>
          <w:ilvl w:val="0"/>
          <w:numId w:val="2"/>
        </w:numPr>
        <w:spacing w:after="80"/>
      </w:pPr>
      <w:r>
        <w:rPr>
          <w:sz w:val="22"/>
          <w:szCs w:val="22"/>
        </w:rPr>
        <w:t xml:space="preserve">MonthlyCharges</w:t>
      </w:r>
    </w:p>
    <w:p>
      <w:pPr>
        <w:pStyle w:val="ListParagraph"/>
        <w:numPr>
          <w:ilvl w:val="0"/>
          <w:numId w:val="2"/>
        </w:numPr>
        <w:spacing w:after="80"/>
      </w:pPr>
      <w:r>
        <w:rPr>
          <w:sz w:val="22"/>
          <w:szCs w:val="22"/>
        </w:rPr>
        <w:t xml:space="preserve">tenure</w:t>
      </w:r>
    </w:p>
    <w:p>
      <w:pPr>
        <w:pStyle w:val="ListParagraph"/>
        <w:numPr>
          <w:ilvl w:val="0"/>
          <w:numId w:val="2"/>
        </w:numPr>
        <w:spacing w:after="80"/>
      </w:pPr>
      <w:r>
        <w:rPr>
          <w:sz w:val="22"/>
          <w:szCs w:val="22"/>
        </w:rPr>
        <w:t xml:space="preserve">Contract</w:t>
      </w:r>
    </w:p>
    <w:p>
      <w:pPr>
        <w:spacing w:after="60" w:before="10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048000"/>
                    </a:xfrm>
                    <a:prstGeom prst="rect">
                      <a:avLst/>
                    </a:prstGeom>
                  </pic:spPr>
                </pic:pic>
              </a:graphicData>
            </a:graphic>
          </wp:inline>
        </w:drawing>
      </w:r>
    </w:p>
    <w:p>
      <w:pPr>
        <w:spacing w:after="220"/>
        <w:jc w:val="center"/>
      </w:pPr>
      <w:r>
        <w:rPr>
          <w:i/>
          <w:iCs/>
          <w:sz w:val="18"/>
          <w:szCs w:val="18"/>
        </w:rPr>
        <w:t xml:space="preserve">Figure 4: Top 10 feature importances (Random Forest, built-in)</w:t>
      </w:r>
    </w:p>
    <w:p>
      <w:pPr>
        <w:pStyle w:val="Heading2"/>
        <w:spacing w:after="140" w:before="240"/>
      </w:pPr>
      <w:r>
        <w:t xml:space="preserve">3.4 SHAP Explainability (per the original tech stack)</w:t>
      </w:r>
    </w:p>
    <w:p>
      <w:pPr>
        <w:spacing w:after="160"/>
      </w:pPr>
      <w:r>
        <w:rPr>
          <w:sz w:val="22"/>
          <w:szCs w:val="22"/>
        </w:rPr>
        <w:t xml:space="preserve">SHAP (SHapley Additive exPlanations) was applied to the trained Random Forest model to explain individual predictions, not just overall importance rankings. SHAP values quantify how much each feature pushed a specific customer's churn prediction up or down, which is what the project brief specifies for business-facing explainability.</w:t>
      </w:r>
    </w:p>
    <w:p>
      <w:pPr>
        <w:spacing w:after="160"/>
      </w:pPr>
      <w:r>
        <w:rPr>
          <w:sz w:val="22"/>
          <w:szCs w:val="22"/>
        </w:rPr>
        <w:t xml:space="preserve">Ranked by mean absolute SHAP value (impact on the Churn=Yes prediction):</w:t>
      </w:r>
    </w:p>
    <w:p>
      <w:pPr>
        <w:pStyle w:val="ListParagraph"/>
        <w:numPr>
          <w:ilvl w:val="0"/>
          <w:numId w:val="2"/>
        </w:numPr>
        <w:spacing w:after="80"/>
      </w:pPr>
      <w:r>
        <w:rPr>
          <w:sz w:val="22"/>
          <w:szCs w:val="22"/>
        </w:rPr>
        <w:t xml:space="preserve">Contract (highest impact)</w:t>
      </w:r>
    </w:p>
    <w:p>
      <w:pPr>
        <w:pStyle w:val="ListParagraph"/>
        <w:numPr>
          <w:ilvl w:val="0"/>
          <w:numId w:val="2"/>
        </w:numPr>
        <w:spacing w:after="80"/>
      </w:pPr>
      <w:r>
        <w:rPr>
          <w:sz w:val="22"/>
          <w:szCs w:val="22"/>
        </w:rPr>
        <w:t xml:space="preserve">charge_per_tenure_month</w:t>
      </w:r>
    </w:p>
    <w:p>
      <w:pPr>
        <w:pStyle w:val="ListParagraph"/>
        <w:numPr>
          <w:ilvl w:val="0"/>
          <w:numId w:val="2"/>
        </w:numPr>
        <w:spacing w:after="80"/>
      </w:pPr>
      <w:r>
        <w:rPr>
          <w:sz w:val="22"/>
          <w:szCs w:val="22"/>
        </w:rPr>
        <w:t xml:space="preserve">OnlineSecurity</w:t>
      </w:r>
    </w:p>
    <w:p>
      <w:pPr>
        <w:pStyle w:val="ListParagraph"/>
        <w:numPr>
          <w:ilvl w:val="0"/>
          <w:numId w:val="2"/>
        </w:numPr>
        <w:spacing w:after="80"/>
      </w:pPr>
      <w:r>
        <w:rPr>
          <w:sz w:val="22"/>
          <w:szCs w:val="22"/>
        </w:rPr>
        <w:t xml:space="preserve">tenure</w:t>
      </w:r>
    </w:p>
    <w:p>
      <w:pPr>
        <w:pStyle w:val="ListParagraph"/>
        <w:numPr>
          <w:ilvl w:val="0"/>
          <w:numId w:val="2"/>
        </w:numPr>
        <w:spacing w:after="80"/>
      </w:pPr>
      <w:r>
        <w:rPr>
          <w:sz w:val="22"/>
          <w:szCs w:val="22"/>
        </w:rPr>
        <w:t xml:space="preserve">TechSupport</w:t>
      </w:r>
    </w:p>
    <w:p>
      <w:pPr>
        <w:pStyle w:val="ListParagraph"/>
        <w:numPr>
          <w:ilvl w:val="0"/>
          <w:numId w:val="2"/>
        </w:numPr>
        <w:spacing w:after="80"/>
      </w:pPr>
      <w:r>
        <w:rPr>
          <w:sz w:val="22"/>
          <w:szCs w:val="22"/>
        </w:rPr>
        <w:t xml:space="preserve">InternetService</w:t>
      </w:r>
    </w:p>
    <w:p>
      <w:pPr>
        <w:spacing w:after="60" w:before="10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238500"/>
                    </a:xfrm>
                    <a:prstGeom prst="rect">
                      <a:avLst/>
                    </a:prstGeom>
                  </pic:spPr>
                </pic:pic>
              </a:graphicData>
            </a:graphic>
          </wp:inline>
        </w:drawing>
      </w:r>
    </w:p>
    <w:p>
      <w:pPr>
        <w:spacing w:after="220"/>
        <w:jc w:val="center"/>
      </w:pPr>
      <w:r>
        <w:rPr>
          <w:i/>
          <w:iCs/>
          <w:sz w:val="18"/>
          <w:szCs w:val="18"/>
        </w:rPr>
        <w:t xml:space="preserve">Figure 5: SHAP summary plot — each dot is one customer; red = high feature value, blue = low; position shows whether it pushed the churn prediction up or down</w:t>
      </w:r>
    </w:p>
    <w:p>
      <w:pPr>
        <w:spacing w:after="60" w:before="10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238500"/>
                    </a:xfrm>
                    <a:prstGeom prst="rect">
                      <a:avLst/>
                    </a:prstGeom>
                  </pic:spPr>
                </pic:pic>
              </a:graphicData>
            </a:graphic>
          </wp:inline>
        </w:drawing>
      </w:r>
    </w:p>
    <w:p>
      <w:pPr>
        <w:spacing w:after="220"/>
        <w:jc w:val="center"/>
      </w:pPr>
      <w:r>
        <w:rPr>
          <w:i/>
          <w:iCs/>
          <w:sz w:val="18"/>
          <w:szCs w:val="18"/>
        </w:rPr>
        <w:t xml:space="preserve">Figure 6: SHAP mean absolute impact per feature, ranked</w:t>
      </w:r>
    </w:p>
    <w:p>
      <w:pPr>
        <w:spacing w:after="160"/>
      </w:pPr>
      <w:r>
        <w:rPr>
          <w:sz w:val="22"/>
          <w:szCs w:val="22"/>
        </w:rPr>
        <w:t xml:space="preserve">Note: SHAP confirms Contract type as the single most influential factor in churn predictions — consistent with the EDA finding in Section 2.3 that month-to-month customers churn 15x more than two-year contract customers. This agreement between the EDA, Random Forest importances, and SHAP values across three independent methods strengthens confidence in the finding.</w:t>
      </w:r>
    </w:p>
    <w:p>
      <w:pPr>
        <w:pStyle w:val="Heading1"/>
        <w:spacing w:after="180" w:before="320"/>
      </w:pPr>
      <w:r>
        <w:t xml:space="preserve">4. Business Insights &amp; Recommendations</w:t>
      </w:r>
    </w:p>
    <w:p>
      <w:pPr>
        <w:pStyle w:val="ListParagraph"/>
        <w:numPr>
          <w:ilvl w:val="0"/>
          <w:numId w:val="2"/>
        </w:numPr>
        <w:spacing w:after="80"/>
      </w:pPr>
      <w:r>
        <w:rPr>
          <w:sz w:val="22"/>
          <w:szCs w:val="22"/>
        </w:rPr>
        <w:t xml:space="preserve">Prioritize retention offers for month-to-month customers — they churn 15x more often than two-year contract customers. Incentivizing longer contracts (e.g. discounts for annual commitment) could meaningfully reduce churn.</w:t>
      </w:r>
    </w:p>
    <w:p>
      <w:pPr>
        <w:pStyle w:val="ListParagraph"/>
        <w:numPr>
          <w:ilvl w:val="0"/>
          <w:numId w:val="2"/>
        </w:numPr>
        <w:spacing w:after="80"/>
      </w:pPr>
      <w:r>
        <w:rPr>
          <w:sz w:val="22"/>
          <w:szCs w:val="22"/>
        </w:rPr>
        <w:t xml:space="preserve">Focus retention efforts in the first 12 months of the customer lifecycle, where churn risk is highest.</w:t>
      </w:r>
    </w:p>
    <w:p>
      <w:pPr>
        <w:pStyle w:val="ListParagraph"/>
        <w:numPr>
          <w:ilvl w:val="0"/>
          <w:numId w:val="2"/>
        </w:numPr>
        <w:spacing w:after="80"/>
      </w:pPr>
      <w:r>
        <w:rPr>
          <w:sz w:val="22"/>
          <w:szCs w:val="22"/>
        </w:rPr>
        <w:t xml:space="preserve">Monitor customers with high charge-to-tenure ratios — this was the single strongest predictive signal, suggesting price-to-value perception matters more than raw price.</w:t>
      </w:r>
    </w:p>
    <w:p>
      <w:pPr>
        <w:pStyle w:val="Heading1"/>
        <w:spacing w:after="180" w:before="320"/>
      </w:pPr>
      <w:r>
        <w:t xml:space="preserve">5. Next Steps (Week 3 &amp; 4)</w:t>
      </w:r>
    </w:p>
    <w:p>
      <w:pPr>
        <w:pStyle w:val="ListParagraph"/>
        <w:numPr>
          <w:ilvl w:val="0"/>
          <w:numId w:val="2"/>
        </w:numPr>
        <w:spacing w:after="80"/>
      </w:pPr>
      <w:r>
        <w:rPr>
          <w:sz w:val="22"/>
          <w:szCs w:val="22"/>
        </w:rPr>
        <w:t xml:space="preserve">Week 3: Build a regression model to estimate customer lifetime value (LTV), and expose both churn and LTV predictions through a FastAPI service.</w:t>
      </w:r>
    </w:p>
    <w:p>
      <w:pPr>
        <w:pStyle w:val="ListParagraph"/>
        <w:numPr>
          <w:ilvl w:val="0"/>
          <w:numId w:val="2"/>
        </w:numPr>
        <w:spacing w:after="80"/>
      </w:pPr>
      <w:r>
        <w:rPr>
          <w:sz w:val="22"/>
          <w:szCs w:val="22"/>
        </w:rPr>
        <w:t xml:space="preserve">Week 4: Connect a dashboard (Apache Superset / Metabase) for live churn and LTV visualization, containerize the application with Docker, and finalize documentation.</w:t>
      </w:r>
    </w:p>
    <w:p>
      <w:pPr>
        <w:pStyle w:val="Heading1"/>
        <w:spacing w:after="180" w:before="320"/>
      </w:pPr>
      <w:r>
        <w:t xml:space="preserve">6. Week 3: API Development &amp; LTV Modeling</w:t>
      </w:r>
    </w:p>
    <w:p>
      <w:pPr>
        <w:pStyle w:val="ListParagraph"/>
        <w:numPr>
          <w:ilvl w:val="0"/>
          <w:numId w:val="2"/>
        </w:numPr>
        <w:spacing w:after="80"/>
      </w:pPr>
      <w:r>
        <w:rPr>
          <w:sz w:val="22"/>
          <w:szCs w:val="22"/>
        </w:rPr>
        <w:t xml:space="preserve">Defined a Customer Lifetime Value (LTV) target as tenure × MonthlyCharges and trained a Random Forest Regressor to predict it (RMSE: 63.89, R²: 0.9992).</w:t>
      </w:r>
    </w:p>
    <w:p>
      <w:pPr>
        <w:pStyle w:val="ListParagraph"/>
        <w:numPr>
          <w:ilvl w:val="0"/>
          <w:numId w:val="2"/>
        </w:numPr>
        <w:spacing w:after="80"/>
      </w:pPr>
      <w:r>
        <w:rPr>
          <w:sz w:val="22"/>
          <w:szCs w:val="22"/>
        </w:rPr>
        <w:t xml:space="preserve">Built a FastAPI service exposing three endpoints: /health, /predict/churn, and /predict/ltv, serving real-time predictions from the trained models.</w:t>
      </w:r>
    </w:p>
    <w:p>
      <w:pPr>
        <w:pStyle w:val="ListParagraph"/>
        <w:numPr>
          <w:ilvl w:val="0"/>
          <w:numId w:val="2"/>
        </w:numPr>
        <w:spacing w:after="80"/>
      </w:pPr>
      <w:r>
        <w:rPr>
          <w:sz w:val="22"/>
          <w:szCs w:val="22"/>
        </w:rPr>
        <w:t xml:space="preserve">Validated the API with contrasting customer profiles: an at-risk customer (2 months tenure, month-to-month contract) returned an 83.5% churn probability and ₹187 predicted LTV, while a loyal customer (60 months tenure, two-year contract) returned an 11.6% churn probability and ₹3,314 predicted LTV — confirming the models behave as expected.</w:t>
      </w:r>
    </w:p>
    <w:p>
      <w:pPr>
        <w:pStyle w:val="ListParagraph"/>
        <w:numPr>
          <w:ilvl w:val="0"/>
          <w:numId w:val="2"/>
        </w:numPr>
        <w:spacing w:after="80"/>
      </w:pPr>
      <w:r>
        <w:rPr>
          <w:sz w:val="22"/>
          <w:szCs w:val="22"/>
        </w:rPr>
        <w:t xml:space="preserve">Added a requirements.txt file to document all project dependencies for reproducibility.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ae94a54864eb3e8b83ce0bf4fe858b4256c45b.png"/><Relationship Id="rId8" Type="http://schemas.openxmlformats.org/officeDocument/2006/relationships/image" Target="media/e80a4ae4fb4b09f5445045464f8bf2779168ea72.png"/><Relationship Id="rId9" Type="http://schemas.openxmlformats.org/officeDocument/2006/relationships/image" Target="media/2a0c0b66571741053677771c596bc0b5c8f7b3fa.png"/><Relationship Id="rId10" Type="http://schemas.openxmlformats.org/officeDocument/2006/relationships/image" Target="media/6028ab30ce916592deb5b24ec6159d56136f3548.png"/><Relationship Id="rId11" Type="http://schemas.openxmlformats.org/officeDocument/2006/relationships/image" Target="media/743714c674955b3fca4a0f7aaa5198f07030806c.png"/><Relationship Id="rId12" Type="http://schemas.openxmlformats.org/officeDocument/2006/relationships/image" Target="media/1bd12000bcba353b9fadf9d9768d2a5257f3349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2026-07-29T10:41:34.741Z</dcterms:created>
  <dcterms:modified xsi:type="dcterms:W3CDTF">2026-07-29T10:41:34.750Z</dcterms:modified>
</cp:coreProperties>
</file>

<file path=docProps/custom.xml><?xml version="1.0" encoding="utf-8"?>
<Properties xmlns="http://schemas.openxmlformats.org/officeDocument/2006/custom-properties" xmlns:vt="http://schemas.openxmlformats.org/officeDocument/2006/docPropsVTypes"/>
</file>