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EBBA" w14:textId="77777777" w:rsidR="00D84214" w:rsidRPr="00D84214" w:rsidRDefault="00D84214" w:rsidP="00D84214">
      <w:pPr>
        <w:rPr>
          <w:rFonts w:ascii="Times New Roman" w:hAnsi="Times New Roman" w:cs="Times New Roman"/>
        </w:rPr>
      </w:pPr>
      <w:r w:rsidRPr="00D84214">
        <w:rPr>
          <w:rFonts w:ascii="Times New Roman" w:hAnsi="Times New Roman" w:cs="Times New Roman"/>
        </w:rPr>
        <w:t>1. Layer 1: Heterogeneous Nucleation Onset and Induction Lag</w:t>
      </w:r>
    </w:p>
    <w:p w14:paraId="1C08144F" w14:textId="783E0081" w:rsidR="00D84214" w:rsidRDefault="00D84214" w:rsidP="00D84214">
      <w:pPr>
        <w:rPr>
          <w:rFonts w:ascii="Times New Roman" w:hAnsi="Times New Roman" w:cs="Times New Roman"/>
        </w:rPr>
      </w:pPr>
      <w:r w:rsidRPr="00D84214">
        <w:rPr>
          <w:rFonts w:ascii="Times New Roman" w:hAnsi="Times New Roman" w:cs="Times New Roman"/>
        </w:rPr>
        <w:t>1.1 Dewpoint Temperature</w:t>
      </w:r>
    </w:p>
    <w:p w14:paraId="3A25243F" w14:textId="77777777" w:rsidR="00D84214" w:rsidRPr="00D84214" w:rsidRDefault="00D84214" w:rsidP="00D84214">
      <w:pPr>
        <w:rPr>
          <w:rFonts w:ascii="Times New Roman" w:eastAsiaTheme="minorEastAsia" w:hAnsi="Times New Roman" w:cs="Times New Roman"/>
        </w:rPr>
      </w:pPr>
      <w:r w:rsidRPr="00D84214">
        <w:rPr>
          <w:rFonts w:ascii="Times New Roman" w:hAnsi="Times New Roman" w:cs="Times New Roman"/>
        </w:rPr>
        <w:t>Condensation begins when the surface temperature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</w:t>
      </w:r>
      <w:r w:rsidRPr="00D84214">
        <w:rPr>
          <w:rFonts w:ascii="Times New Roman" w:eastAsiaTheme="minorEastAsia" w:hAnsi="Times New Roman" w:cs="Times New Roman"/>
        </w:rPr>
        <w:t>falls below the dewpoint</w:t>
      </w:r>
      <w:r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dp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. </w:t>
      </w:r>
      <w:r w:rsidRPr="00D84214">
        <w:rPr>
          <w:rFonts w:ascii="Times New Roman" w:eastAsiaTheme="minorEastAsia" w:hAnsi="Times New Roman" w:cs="Times New Roman"/>
        </w:rPr>
        <w:t>The</w:t>
      </w:r>
    </w:p>
    <w:p w14:paraId="6584F3B4" w14:textId="28D58691" w:rsidR="00D84214" w:rsidRDefault="00D84214" w:rsidP="00D84214">
      <w:pPr>
        <w:rPr>
          <w:rFonts w:ascii="Times New Roman" w:eastAsiaTheme="minorEastAsia" w:hAnsi="Times New Roman" w:cs="Times New Roman"/>
        </w:rPr>
      </w:pPr>
      <w:r w:rsidRPr="00D84214">
        <w:rPr>
          <w:rFonts w:ascii="Times New Roman" w:eastAsiaTheme="minorEastAsia" w:hAnsi="Times New Roman" w:cs="Times New Roman"/>
        </w:rPr>
        <w:t>dewpoint is computed from ambient temperature</w:t>
      </w:r>
      <w:r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amb</m:t>
            </m:r>
          </m:sub>
        </m:sSub>
        <m:r>
          <w:rPr>
            <w:rFonts w:ascii="Cambria Math" w:eastAsiaTheme="minorEastAsia" w:hAnsi="Cambria Math" w:cs="Times New Roman"/>
          </w:rPr>
          <m:t>(℃</m:t>
        </m:r>
      </m:oMath>
      <w:r>
        <w:rPr>
          <w:rFonts w:ascii="Times New Roman" w:eastAsiaTheme="minorEastAsia" w:hAnsi="Times New Roman" w:cs="Times New Roman"/>
        </w:rPr>
        <w:t xml:space="preserve">) </w:t>
      </w:r>
      <w:r w:rsidRPr="00D84214">
        <w:rPr>
          <w:rFonts w:ascii="Times New Roman" w:eastAsiaTheme="minorEastAsia" w:hAnsi="Times New Roman" w:cs="Times New Roman"/>
        </w:rPr>
        <w:t>and relative humidity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RH∈(0,1]</m:t>
        </m:r>
      </m:oMath>
      <w:r>
        <w:rPr>
          <w:rFonts w:ascii="Times New Roman" w:eastAsiaTheme="minorEastAsia" w:hAnsi="Times New Roman" w:cs="Times New Roman"/>
        </w:rPr>
        <w:t xml:space="preserve"> </w:t>
      </w:r>
      <w:r w:rsidRPr="00D84214">
        <w:rPr>
          <w:rFonts w:ascii="Times New Roman" w:eastAsiaTheme="minorEastAsia" w:hAnsi="Times New Roman" w:cs="Times New Roman"/>
        </w:rPr>
        <w:t>via the August–Roche–Magnus approximation:</w:t>
      </w:r>
    </w:p>
    <w:p w14:paraId="2CFD9CDE" w14:textId="331CE971" w:rsidR="00D84214" w:rsidRPr="00E87E01" w:rsidRDefault="00132A31" w:rsidP="00D84214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dp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b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RH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a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amb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b+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amb</m:t>
                              </m:r>
                            </m:sub>
                          </m:sSub>
                        </m:den>
                      </m:f>
                    </m:e>
                  </m:func>
                </m:e>
              </m:d>
            </m:num>
            <m:den>
              <m:r>
                <w:rPr>
                  <w:rFonts w:ascii="Cambria Math" w:hAnsi="Cambria Math" w:cs="Times New Roman"/>
                </w:rPr>
                <m:t>a-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RH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-</m:t>
                  </m:r>
                </m:e>
              </m:func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amb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b+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amb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 w:cs="Times New Roman"/>
            </w:rPr>
            <m:t>,  a=17.625, b=243.04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℃</m:t>
              </m:r>
            </m:e>
          </m:d>
          <m:r>
            <w:rPr>
              <w:rFonts w:ascii="Cambria Math" w:hAnsi="Cambria Math" w:cs="Times New Roman"/>
            </w:rPr>
            <m:t xml:space="preserve">                 (1)</m:t>
          </m:r>
        </m:oMath>
      </m:oMathPara>
    </w:p>
    <w:p w14:paraId="0DE661EE" w14:textId="51F9E84B" w:rsidR="00E87E01" w:rsidRDefault="00E87E01" w:rsidP="00D84214">
      <w:pPr>
        <w:rPr>
          <w:rFonts w:ascii="Times New Roman" w:hAnsi="Times New Roman" w:cs="Times New Roman"/>
        </w:rPr>
      </w:pPr>
      <w:r w:rsidRPr="00E87E01">
        <w:rPr>
          <w:rFonts w:ascii="Times New Roman" w:hAnsi="Times New Roman" w:cs="Times New Roman"/>
        </w:rPr>
        <w:t>The subcooling, the primary thermodynamic driver of condensation, is:</w:t>
      </w:r>
    </w:p>
    <w:p w14:paraId="0B991BCD" w14:textId="07E50383" w:rsidR="00E87E01" w:rsidRPr="00E87E01" w:rsidRDefault="00E87E01" w:rsidP="00D84214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sub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dp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,   ∆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sub</m:t>
              </m:r>
            </m:sub>
          </m:sSub>
          <m:r>
            <w:rPr>
              <w:rFonts w:ascii="Cambria Math" w:hAnsi="Cambria Math" w:cs="Times New Roman"/>
            </w:rPr>
            <m:t>&gt;0⟹</m:t>
          </m:r>
          <m:r>
            <m:rPr>
              <m:sty m:val="p"/>
            </m:rPr>
            <w:rPr>
              <w:rFonts w:ascii="Cambria Math" w:hAnsi="Cambria Math" w:cs="Times New Roman"/>
            </w:rPr>
            <m:t>condensation thermodynamically possible</m:t>
          </m:r>
          <m:r>
            <w:rPr>
              <w:rFonts w:ascii="Cambria Math" w:hAnsi="Cambria Math" w:cs="Times New Roman"/>
            </w:rPr>
            <m:t xml:space="preserve">    (2)</m:t>
          </m:r>
        </m:oMath>
      </m:oMathPara>
    </w:p>
    <w:p w14:paraId="459CBD1C" w14:textId="77777777" w:rsidR="00E87E01" w:rsidRDefault="00E87E01" w:rsidP="00D84214">
      <w:pPr>
        <w:rPr>
          <w:rFonts w:ascii="Times New Roman" w:hAnsi="Times New Roman" w:cs="Times New Roman"/>
        </w:rPr>
      </w:pPr>
    </w:p>
    <w:p w14:paraId="66970BFD" w14:textId="77777777" w:rsidR="00E87E01" w:rsidRPr="00E87E01" w:rsidRDefault="00E87E01" w:rsidP="00E87E01">
      <w:pPr>
        <w:rPr>
          <w:rFonts w:ascii="Times New Roman" w:hAnsi="Times New Roman" w:cs="Times New Roman"/>
        </w:rPr>
      </w:pPr>
      <w:r w:rsidRPr="00E87E01">
        <w:rPr>
          <w:rFonts w:ascii="Times New Roman" w:hAnsi="Times New Roman" w:cs="Times New Roman"/>
        </w:rPr>
        <w:t>1.2 Gibbs Free-Energy Barrier (Classical Nucleation Theory)</w:t>
      </w:r>
    </w:p>
    <w:p w14:paraId="67DF9244" w14:textId="0B9933A2" w:rsidR="00E87E01" w:rsidRDefault="00E87E01" w:rsidP="00E87E01">
      <w:pPr>
        <w:rPr>
          <w:rFonts w:ascii="Times New Roman" w:hAnsi="Times New Roman" w:cs="Times New Roman"/>
        </w:rPr>
      </w:pPr>
      <w:r w:rsidRPr="00E87E01">
        <w:rPr>
          <w:rFonts w:ascii="Times New Roman" w:hAnsi="Times New Roman" w:cs="Times New Roman"/>
        </w:rPr>
        <w:t>Before a condensate film appears, water-</w:t>
      </w:r>
      <w:r w:rsidRPr="00E87E01">
        <w:rPr>
          <w:rFonts w:ascii="Times New Roman" w:hAnsi="Times New Roman" w:cs="Times New Roman"/>
        </w:rPr>
        <w:t>vapor</w:t>
      </w:r>
      <w:r w:rsidRPr="00E87E01">
        <w:rPr>
          <w:rFonts w:ascii="Times New Roman" w:hAnsi="Times New Roman" w:cs="Times New Roman"/>
        </w:rPr>
        <w:t xml:space="preserve"> molecules must surmount an energy barrier</w:t>
      </w:r>
      <w:r>
        <w:rPr>
          <w:rFonts w:ascii="Times New Roman" w:hAnsi="Times New Roman" w:cs="Times New Roman"/>
        </w:rPr>
        <w:t xml:space="preserve"> </w:t>
      </w:r>
      <w:r w:rsidRPr="00E87E01">
        <w:rPr>
          <w:rFonts w:ascii="Times New Roman" w:hAnsi="Times New Roman" w:cs="Times New Roman"/>
        </w:rPr>
        <w:t xml:space="preserve">to form a stable nucleus. For heterogeneous nucleation on a substrate with contact angle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>
        <w:rPr>
          <w:rFonts w:ascii="Times New Roman" w:eastAsiaTheme="minorEastAsia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E87E01">
        <w:rPr>
          <w:rFonts w:ascii="Times New Roman" w:hAnsi="Times New Roman" w:cs="Times New Roman"/>
        </w:rPr>
        <w:t>classical nucleation theory (CNT) gives:</w:t>
      </w:r>
    </w:p>
    <w:p w14:paraId="35C57A03" w14:textId="1DF169AA" w:rsidR="00E87E01" w:rsidRPr="006B2ABE" w:rsidRDefault="00E87E01" w:rsidP="00E87E01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∆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G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∆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hom</m:t>
              </m:r>
            </m:sub>
            <m:sup>
              <m:r>
                <w:rPr>
                  <w:rFonts w:ascii="Cambria Math" w:hAnsi="Cambria Math" w:cs="Times New Roman"/>
                </w:rPr>
                <m:t>*</m:t>
              </m:r>
            </m:sup>
          </m:sSubSup>
          <m:r>
            <w:rPr>
              <w:rFonts w:ascii="Cambria Math" w:hAnsi="Cambria Math" w:cs="Times New Roman"/>
            </w:rPr>
            <m:t xml:space="preserve">,   </m:t>
          </m:r>
          <m:r>
            <w:rPr>
              <w:rFonts w:ascii="Cambria Math" w:hAnsi="Cambria Math" w:cs="Times New Roman"/>
            </w:rPr>
            <m:t>∆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hom</m:t>
              </m:r>
            </m:sub>
            <m:sup>
              <m:r>
                <w:rPr>
                  <w:rFonts w:ascii="Cambria Math" w:hAnsi="Cambria Math" w:cs="Times New Roman"/>
                </w:rPr>
                <m:t>*</m:t>
              </m:r>
            </m:sup>
          </m:sSub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16π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v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 xml:space="preserve">         (3)</m:t>
          </m:r>
        </m:oMath>
      </m:oMathPara>
    </w:p>
    <w:p w14:paraId="082A0054" w14:textId="7587D912" w:rsidR="006B2ABE" w:rsidRDefault="006B2ABE" w:rsidP="00E87E0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Where </w:t>
      </w:r>
      <m:oMath>
        <m:r>
          <w:rPr>
            <w:rFonts w:ascii="Cambria Math" w:eastAsiaTheme="minorEastAsia" w:hAnsi="Cambria Math" w:cs="Times New Roman"/>
          </w:rPr>
          <m:t>σ</m:t>
        </m:r>
      </m:oMath>
      <w:r>
        <w:rPr>
          <w:rFonts w:ascii="Times New Roman" w:eastAsiaTheme="minorEastAsia" w:hAnsi="Times New Roman" w:cs="Times New Roman"/>
        </w:rPr>
        <w:t xml:space="preserve"> is the liquid-vapor surface tension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 xml:space="preserve">J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</w:rPr>
        <w:t>. The Fletcher heterogenous nucleation factor is:</w:t>
      </w:r>
    </w:p>
    <w:p w14:paraId="3C8F2823" w14:textId="73192A96" w:rsidR="006B2ABE" w:rsidRDefault="006B2ABE" w:rsidP="00E87E0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2+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c</m:t>
                          </m:r>
                        </m:sub>
                      </m:sSub>
                    </m:e>
                  </m:func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1-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cos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c</m:t>
                              </m:r>
                            </m:sub>
                          </m:sSub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 xml:space="preserve">,    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0,1</m:t>
              </m:r>
            </m:e>
          </m:d>
          <m:r>
            <w:rPr>
              <w:rFonts w:ascii="Cambria Math" w:hAnsi="Cambria Math" w:cs="Times New Roman"/>
            </w:rPr>
            <m:t xml:space="preserve">           (4)</m:t>
          </m:r>
        </m:oMath>
      </m:oMathPara>
    </w:p>
    <w:p w14:paraId="47F47D9B" w14:textId="77777777" w:rsidR="006B2ABE" w:rsidRDefault="006B2ABE" w:rsidP="00E87E01">
      <w:pPr>
        <w:rPr>
          <w:rFonts w:ascii="Times New Roman" w:hAnsi="Times New Roman" w:cs="Times New Roman"/>
        </w:rPr>
      </w:pPr>
    </w:p>
    <w:p w14:paraId="4358DC5D" w14:textId="25765701" w:rsidR="00E87E01" w:rsidRDefault="006B2ABE" w:rsidP="00E87E01">
      <w:pPr>
        <w:rPr>
          <w:rFonts w:ascii="Times New Roman" w:hAnsi="Times New Roman" w:cs="Times New Roman"/>
        </w:rPr>
      </w:pPr>
      <w:r w:rsidRPr="006B2ABE">
        <w:rPr>
          <w:rFonts w:ascii="Times New Roman" w:hAnsi="Times New Roman" w:cs="Times New Roman"/>
        </w:rPr>
        <w:t>Table 1 lists representative contact angles and their effect on the induction lag.</w:t>
      </w:r>
    </w:p>
    <w:p w14:paraId="5F10E036" w14:textId="1190FE25" w:rsidR="006B2ABE" w:rsidRDefault="006B2ABE" w:rsidP="006B2ABE">
      <w:pPr>
        <w:rPr>
          <w:rFonts w:ascii="Times New Roman" w:eastAsiaTheme="minorEastAsia" w:hAnsi="Times New Roman" w:cs="Times New Roman"/>
        </w:rPr>
      </w:pPr>
      <w:r w:rsidRPr="006B2ABE">
        <w:rPr>
          <w:rFonts w:ascii="Times New Roman" w:hAnsi="Times New Roman" w:cs="Times New Roman"/>
        </w:rPr>
        <w:t>Table 1: Nominal contact angles and Fletcher factors for enclosure window coatings. The</w:t>
      </w:r>
      <w:r>
        <w:rPr>
          <w:rFonts w:ascii="Times New Roman" w:hAnsi="Times New Roman" w:cs="Times New Roman"/>
        </w:rPr>
        <w:t xml:space="preserve"> r</w:t>
      </w:r>
      <w:r w:rsidRPr="006B2ABE">
        <w:rPr>
          <w:rFonts w:ascii="Times New Roman" w:hAnsi="Times New Roman" w:cs="Times New Roman"/>
        </w:rPr>
        <w:t>elative</w:t>
      </w:r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in</m:t>
            </m:r>
            <m:r>
              <w:rPr>
                <w:rFonts w:ascii="Cambria Math" w:hAnsi="Cambria Math" w:cs="Times New Roman"/>
              </w:rPr>
              <m:t>d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</w:t>
      </w:r>
      <w:r w:rsidRPr="006B2ABE">
        <w:rPr>
          <w:rFonts w:ascii="Times New Roman" w:eastAsiaTheme="minorEastAsia" w:hAnsi="Times New Roman" w:cs="Times New Roman"/>
        </w:rPr>
        <w:t>multiplier is with respect to untreated glass.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258"/>
        <w:gridCol w:w="1170"/>
        <w:gridCol w:w="3240"/>
      </w:tblGrid>
      <w:tr w:rsidR="00573B56" w14:paraId="64F83618" w14:textId="77777777" w:rsidTr="00A31574">
        <w:tc>
          <w:tcPr>
            <w:tcW w:w="2337" w:type="dxa"/>
          </w:tcPr>
          <w:p w14:paraId="30084815" w14:textId="1A7BCDE9" w:rsidR="00573B56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73B56">
              <w:rPr>
                <w:rFonts w:ascii="Times New Roman" w:eastAsiaTheme="minorEastAsia" w:hAnsi="Times New Roman" w:cs="Times New Roman"/>
              </w:rPr>
              <w:t>Surface treatment</w:t>
            </w:r>
          </w:p>
        </w:tc>
        <w:tc>
          <w:tcPr>
            <w:tcW w:w="1258" w:type="dxa"/>
          </w:tcPr>
          <w:p w14:paraId="48C22AB1" w14:textId="27AD63DA" w:rsidR="00573B56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1170" w:type="dxa"/>
          </w:tcPr>
          <w:p w14:paraId="5BECA9B5" w14:textId="66BB5067" w:rsidR="00573B56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240" w:type="dxa"/>
          </w:tcPr>
          <w:p w14:paraId="213763B1" w14:textId="5DD57826" w:rsidR="00573B56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Pr="006B2ABE">
              <w:rPr>
                <w:rFonts w:ascii="Times New Roman" w:hAnsi="Times New Roman" w:cs="Times New Roman"/>
              </w:rPr>
              <w:t>elative</w:t>
            </w:r>
            <w:r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ind</m:t>
                  </m:r>
                </m:sub>
              </m:sSub>
            </m:oMath>
          </w:p>
        </w:tc>
      </w:tr>
      <w:tr w:rsidR="00573B56" w14:paraId="5D91CF97" w14:textId="77777777" w:rsidTr="00A31574">
        <w:tc>
          <w:tcPr>
            <w:tcW w:w="2337" w:type="dxa"/>
          </w:tcPr>
          <w:p w14:paraId="21402AC9" w14:textId="7C3D6795" w:rsidR="00573B56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73B56">
              <w:rPr>
                <w:rFonts w:ascii="Times New Roman" w:eastAsiaTheme="minorEastAsia" w:hAnsi="Times New Roman" w:cs="Times New Roman"/>
              </w:rPr>
              <w:t>Untreated glass</w:t>
            </w:r>
          </w:p>
        </w:tc>
        <w:tc>
          <w:tcPr>
            <w:tcW w:w="1258" w:type="dxa"/>
          </w:tcPr>
          <w:p w14:paraId="35B6225C" w14:textId="2EBE15C9" w:rsidR="00573B56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20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o</m:t>
                    </m:r>
                  </m:sup>
                </m:sSup>
              </m:oMath>
            </m:oMathPara>
          </w:p>
        </w:tc>
        <w:tc>
          <w:tcPr>
            <w:tcW w:w="1170" w:type="dxa"/>
          </w:tcPr>
          <w:p w14:paraId="2750E5E3" w14:textId="40FEBF96" w:rsidR="00573B56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73B56">
              <w:rPr>
                <w:rFonts w:ascii="Times New Roman" w:eastAsiaTheme="minorEastAsia" w:hAnsi="Times New Roman" w:cs="Times New Roman"/>
              </w:rPr>
              <w:t>0.006</w:t>
            </w:r>
          </w:p>
        </w:tc>
        <w:tc>
          <w:tcPr>
            <w:tcW w:w="3240" w:type="dxa"/>
          </w:tcPr>
          <w:p w14:paraId="658FED5C" w14:textId="517D052E" w:rsidR="00573B56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73B56">
              <w:rPr>
                <w:rFonts w:ascii="Times New Roman" w:eastAsiaTheme="minorEastAsia" w:hAnsi="Times New Roman" w:cs="Times New Roman"/>
              </w:rPr>
              <w:t>Baseline (rapid onset)</w:t>
            </w:r>
          </w:p>
        </w:tc>
      </w:tr>
      <w:tr w:rsidR="00573B56" w14:paraId="7321E0E4" w14:textId="77777777" w:rsidTr="00A31574">
        <w:tc>
          <w:tcPr>
            <w:tcW w:w="2337" w:type="dxa"/>
          </w:tcPr>
          <w:p w14:paraId="3DD5C6A5" w14:textId="3731F7EA" w:rsidR="00573B56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73B56">
              <w:rPr>
                <w:rFonts w:ascii="Times New Roman" w:eastAsiaTheme="minorEastAsia" w:hAnsi="Times New Roman" w:cs="Times New Roman"/>
              </w:rPr>
              <w:t>Hydrophilic coating</w:t>
            </w:r>
          </w:p>
        </w:tc>
        <w:tc>
          <w:tcPr>
            <w:tcW w:w="1258" w:type="dxa"/>
          </w:tcPr>
          <w:p w14:paraId="4D328C45" w14:textId="40841B24" w:rsidR="00573B56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o</m:t>
                    </m:r>
                  </m:sup>
                </m:sSup>
              </m:oMath>
            </m:oMathPara>
          </w:p>
        </w:tc>
        <w:tc>
          <w:tcPr>
            <w:tcW w:w="1170" w:type="dxa"/>
          </w:tcPr>
          <w:p w14:paraId="273C1539" w14:textId="0EC89554" w:rsidR="00573B56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73B56">
              <w:rPr>
                <w:rFonts w:ascii="Times New Roman" w:eastAsiaTheme="minorEastAsia" w:hAnsi="Times New Roman" w:cs="Times New Roman"/>
              </w:rPr>
              <w:t>0.001</w:t>
            </w:r>
          </w:p>
        </w:tc>
        <w:tc>
          <w:tcPr>
            <w:tcW w:w="3240" w:type="dxa"/>
          </w:tcPr>
          <w:p w14:paraId="47070399" w14:textId="4B2ACE9B" w:rsidR="00573B56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73B56">
              <w:rPr>
                <w:rFonts w:ascii="Times New Roman" w:eastAsiaTheme="minorEastAsia" w:hAnsi="Times New Roman" w:cs="Times New Roman"/>
              </w:rPr>
              <w:t>Shorter (faster nucleation)</w:t>
            </w:r>
          </w:p>
        </w:tc>
      </w:tr>
      <w:tr w:rsidR="00573B56" w14:paraId="3337A000" w14:textId="77777777" w:rsidTr="00A31574">
        <w:tc>
          <w:tcPr>
            <w:tcW w:w="2337" w:type="dxa"/>
          </w:tcPr>
          <w:p w14:paraId="75BD82A3" w14:textId="042B9FC7" w:rsidR="00573B56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73B56">
              <w:rPr>
                <w:rFonts w:ascii="Times New Roman" w:eastAsiaTheme="minorEastAsia" w:hAnsi="Times New Roman" w:cs="Times New Roman"/>
              </w:rPr>
              <w:t>Hydrophobic coating</w:t>
            </w:r>
          </w:p>
        </w:tc>
        <w:tc>
          <w:tcPr>
            <w:tcW w:w="1258" w:type="dxa"/>
          </w:tcPr>
          <w:p w14:paraId="02499224" w14:textId="11714E50" w:rsidR="00573B56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o</m:t>
                    </m:r>
                  </m:sup>
                </m:sSup>
              </m:oMath>
            </m:oMathPara>
          </w:p>
        </w:tc>
        <w:tc>
          <w:tcPr>
            <w:tcW w:w="1170" w:type="dxa"/>
          </w:tcPr>
          <w:p w14:paraId="5B782A58" w14:textId="13D912B8" w:rsidR="00573B56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73B56">
              <w:rPr>
                <w:rFonts w:ascii="Times New Roman" w:eastAsiaTheme="minorEastAsia" w:hAnsi="Times New Roman" w:cs="Times New Roman"/>
              </w:rPr>
              <w:t>0.206</w:t>
            </w:r>
          </w:p>
        </w:tc>
        <w:tc>
          <w:tcPr>
            <w:tcW w:w="3240" w:type="dxa"/>
          </w:tcPr>
          <w:p w14:paraId="2BFD65D0" w14:textId="27AEB9CE" w:rsidR="00573B56" w:rsidRDefault="00A31574" w:rsidP="006B2ABE">
            <w:pPr>
              <w:rPr>
                <w:rFonts w:ascii="Times New Roman" w:eastAsiaTheme="minorEastAsia" w:hAnsi="Times New Roman" w:cs="Times New Roman"/>
              </w:rPr>
            </w:pPr>
            <w:r w:rsidRPr="00A31574">
              <w:rPr>
                <w:rFonts w:ascii="Cambria Math" w:eastAsiaTheme="minorEastAsia" w:hAnsi="Cambria Math" w:cs="Cambria Math"/>
              </w:rPr>
              <w:t>∼</w:t>
            </w:r>
            <w:r w:rsidRPr="00A31574">
              <w:rPr>
                <w:rFonts w:ascii="Times New Roman" w:eastAsiaTheme="minorEastAsia" w:hAnsi="Times New Roman" w:cs="Times New Roman"/>
              </w:rPr>
              <w:t xml:space="preserve"> 30× longer</w:t>
            </w:r>
          </w:p>
        </w:tc>
      </w:tr>
      <w:tr w:rsidR="00573B56" w14:paraId="200504FD" w14:textId="77777777" w:rsidTr="00A31574">
        <w:tc>
          <w:tcPr>
            <w:tcW w:w="2337" w:type="dxa"/>
          </w:tcPr>
          <w:p w14:paraId="7801E5C1" w14:textId="1F7F3E66" w:rsidR="00573B56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73B56">
              <w:rPr>
                <w:rFonts w:ascii="Times New Roman" w:eastAsiaTheme="minorEastAsia" w:hAnsi="Times New Roman" w:cs="Times New Roman"/>
              </w:rPr>
              <w:t>Superhydrophobic</w:t>
            </w:r>
          </w:p>
        </w:tc>
        <w:tc>
          <w:tcPr>
            <w:tcW w:w="1258" w:type="dxa"/>
          </w:tcPr>
          <w:p w14:paraId="7BD8216F" w14:textId="652D1CCC" w:rsidR="00573B56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15</m:t>
                    </m:r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o</m:t>
                    </m:r>
                  </m:sup>
                </m:sSup>
              </m:oMath>
            </m:oMathPara>
          </w:p>
        </w:tc>
        <w:tc>
          <w:tcPr>
            <w:tcW w:w="1170" w:type="dxa"/>
          </w:tcPr>
          <w:p w14:paraId="2D879723" w14:textId="5B27B9F2" w:rsidR="00573B56" w:rsidRDefault="00573B56" w:rsidP="006B2ABE">
            <w:pPr>
              <w:rPr>
                <w:rFonts w:ascii="Times New Roman" w:eastAsiaTheme="minorEastAsia" w:hAnsi="Times New Roman" w:cs="Times New Roman"/>
              </w:rPr>
            </w:pPr>
            <w:r w:rsidRPr="00573B56">
              <w:rPr>
                <w:rFonts w:ascii="Times New Roman" w:eastAsiaTheme="minorEastAsia" w:hAnsi="Times New Roman" w:cs="Times New Roman"/>
              </w:rPr>
              <w:t>0.933</w:t>
            </w:r>
          </w:p>
        </w:tc>
        <w:tc>
          <w:tcPr>
            <w:tcW w:w="3240" w:type="dxa"/>
          </w:tcPr>
          <w:p w14:paraId="45BDDE46" w14:textId="29426194" w:rsidR="00573B56" w:rsidRDefault="00A31574" w:rsidP="006B2ABE">
            <w:pPr>
              <w:rPr>
                <w:rFonts w:ascii="Times New Roman" w:eastAsiaTheme="minorEastAsia" w:hAnsi="Times New Roman" w:cs="Times New Roman"/>
              </w:rPr>
            </w:pPr>
            <w:r w:rsidRPr="00A31574">
              <w:rPr>
                <w:rFonts w:ascii="Cambria Math" w:eastAsiaTheme="minorEastAsia" w:hAnsi="Cambria Math" w:cs="Cambria Math"/>
              </w:rPr>
              <w:t>∼</w:t>
            </w:r>
            <w:r w:rsidRPr="00A31574">
              <w:rPr>
                <w:rFonts w:ascii="Times New Roman" w:eastAsiaTheme="minorEastAsia" w:hAnsi="Times New Roman" w:cs="Times New Roman"/>
              </w:rPr>
              <w:t xml:space="preserve"> 150× longer</w:t>
            </w:r>
          </w:p>
        </w:tc>
      </w:tr>
    </w:tbl>
    <w:p w14:paraId="7CDDE756" w14:textId="77777777" w:rsidR="00573B56" w:rsidRDefault="00573B56" w:rsidP="006B2ABE">
      <w:pPr>
        <w:rPr>
          <w:rFonts w:ascii="Times New Roman" w:eastAsiaTheme="minorEastAsia" w:hAnsi="Times New Roman" w:cs="Times New Roman"/>
        </w:rPr>
      </w:pPr>
    </w:p>
    <w:p w14:paraId="6FC90E28" w14:textId="77777777" w:rsidR="008E4845" w:rsidRPr="008E4845" w:rsidRDefault="008E4845" w:rsidP="008E4845">
      <w:pPr>
        <w:rPr>
          <w:rFonts w:ascii="Times New Roman" w:hAnsi="Times New Roman" w:cs="Times New Roman"/>
        </w:rPr>
      </w:pPr>
      <w:r w:rsidRPr="008E4845">
        <w:rPr>
          <w:rFonts w:ascii="Times New Roman" w:hAnsi="Times New Roman" w:cs="Times New Roman"/>
        </w:rPr>
        <w:lastRenderedPageBreak/>
        <w:t>1.3 Nucleation Rate</w:t>
      </w:r>
    </w:p>
    <w:p w14:paraId="1CB28AFA" w14:textId="0F311556" w:rsidR="006B2ABE" w:rsidRDefault="008E4845" w:rsidP="008E4845">
      <w:pPr>
        <w:rPr>
          <w:rFonts w:ascii="Times New Roman" w:hAnsi="Times New Roman" w:cs="Times New Roman"/>
        </w:rPr>
      </w:pPr>
      <w:r w:rsidRPr="008E4845">
        <w:rPr>
          <w:rFonts w:ascii="Times New Roman" w:hAnsi="Times New Roman" w:cs="Times New Roman"/>
        </w:rPr>
        <w:t>The nucleation rate per unit surface area is:</w:t>
      </w:r>
    </w:p>
    <w:p w14:paraId="4A6ED62D" w14:textId="1A4174DB" w:rsidR="008E4845" w:rsidRPr="008E4845" w:rsidRDefault="008E4845" w:rsidP="008E4845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J∝exp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∆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*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T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</w:rPr>
            <m:t>∝exp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c</m:t>
                          </m:r>
                        </m:sub>
                      </m:sSub>
                    </m:e>
                  </m:d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T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sub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</w:rPr>
            <m:t xml:space="preserve">                 (5)</m:t>
          </m:r>
        </m:oMath>
      </m:oMathPara>
    </w:p>
    <w:p w14:paraId="292AC843" w14:textId="600E822C" w:rsidR="008E4845" w:rsidRDefault="008E4845" w:rsidP="008E484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Where the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sub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scaling comes from </w:t>
      </w:r>
      <m:oMath>
        <m:r>
          <w:rPr>
            <w:rFonts w:ascii="Cambria Math" w:hAnsi="Cambria Math" w:cs="Times New Roman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  <m:r>
          <w:rPr>
            <w:rFonts w:ascii="Cambria Math" w:hAnsi="Cambria Math" w:cs="Times New Roman"/>
          </w:rPr>
          <m:t>∝∆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sub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near saturation (Clausius-Clapeyron linearization).</w:t>
      </w:r>
    </w:p>
    <w:p w14:paraId="7429C645" w14:textId="2A22FF12" w:rsidR="008E4845" w:rsidRDefault="008E4845" w:rsidP="008E4845">
      <w:pPr>
        <w:rPr>
          <w:rFonts w:ascii="Times New Roman" w:hAnsi="Times New Roman" w:cs="Times New Roman"/>
        </w:rPr>
      </w:pPr>
      <w:r w:rsidRPr="008E4845">
        <w:rPr>
          <w:rFonts w:ascii="Times New Roman" w:hAnsi="Times New Roman" w:cs="Times New Roman"/>
        </w:rPr>
        <w:t>1.4 Engineering Induction Lag</w:t>
      </w:r>
    </w:p>
    <w:p w14:paraId="42DB3E27" w14:textId="77777777" w:rsidR="008E4845" w:rsidRPr="008E4845" w:rsidRDefault="008E4845" w:rsidP="008E4845">
      <w:pPr>
        <w:rPr>
          <w:rFonts w:ascii="Times New Roman" w:eastAsiaTheme="minorEastAsia" w:hAnsi="Times New Roman" w:cs="Times New Roman"/>
        </w:rPr>
      </w:pPr>
      <w:r w:rsidRPr="008E4845">
        <w:rPr>
          <w:rFonts w:ascii="Times New Roman" w:hAnsi="Times New Roman" w:cs="Times New Roman"/>
        </w:rPr>
        <w:t xml:space="preserve">Inverting </w:t>
      </w:r>
      <w:r w:rsidRPr="008E4845">
        <w:rPr>
          <w:rFonts w:ascii="Times New Roman" w:hAnsi="Times New Roman" w:cs="Times New Roman"/>
          <w:i/>
          <w:iCs/>
        </w:rPr>
        <w:t>J</w:t>
      </w:r>
      <w:r w:rsidRPr="008E4845">
        <w:rPr>
          <w:rFonts w:ascii="Times New Roman" w:hAnsi="Times New Roman" w:cs="Times New Roman"/>
        </w:rPr>
        <w:t xml:space="preserve"> and collecting all </w:t>
      </w:r>
      <w:proofErr w:type="spellStart"/>
      <w:r w:rsidRPr="008E4845">
        <w:rPr>
          <w:rFonts w:ascii="Times New Roman" w:hAnsi="Times New Roman" w:cs="Times New Roman"/>
        </w:rPr>
        <w:t>prefactors</w:t>
      </w:r>
      <w:proofErr w:type="spellEnd"/>
      <w:r w:rsidRPr="008E4845">
        <w:rPr>
          <w:rFonts w:ascii="Times New Roman" w:hAnsi="Times New Roman" w:cs="Times New Roman"/>
        </w:rPr>
        <w:t xml:space="preserve"> into the empirical coefficient</w:t>
      </w:r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ind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</w:t>
      </w:r>
      <w:r w:rsidRPr="008E4845">
        <w:rPr>
          <w:rFonts w:ascii="Times New Roman" w:eastAsiaTheme="minorEastAsia" w:hAnsi="Times New Roman" w:cs="Times New Roman"/>
        </w:rPr>
        <w:t>gives the induction</w:t>
      </w:r>
    </w:p>
    <w:p w14:paraId="62FA1693" w14:textId="6FEC31EF" w:rsidR="008E4845" w:rsidRDefault="008E4845" w:rsidP="008E4845">
      <w:pPr>
        <w:rPr>
          <w:rFonts w:ascii="Times New Roman" w:eastAsiaTheme="minorEastAsia" w:hAnsi="Times New Roman" w:cs="Times New Roman"/>
        </w:rPr>
      </w:pPr>
      <w:r w:rsidRPr="008E4845">
        <w:rPr>
          <w:rFonts w:ascii="Times New Roman" w:eastAsiaTheme="minorEastAsia" w:hAnsi="Times New Roman" w:cs="Times New Roman"/>
        </w:rPr>
        <w:t>lag:</w:t>
      </w:r>
    </w:p>
    <w:p w14:paraId="115D092E" w14:textId="1CE4014D" w:rsidR="00722A6A" w:rsidRPr="00C95178" w:rsidRDefault="00722A6A" w:rsidP="008E48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ind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ind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sub</m:t>
                          </m:r>
                        </m:sub>
                      </m:sSub>
                    </m:e>
                  </m:d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ind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 xml:space="preserve">                  (6)</m:t>
          </m:r>
        </m:oMath>
      </m:oMathPara>
    </w:p>
    <w:p w14:paraId="6F1FE33F" w14:textId="77777777" w:rsidR="00C95178" w:rsidRPr="00C95178" w:rsidRDefault="00C95178" w:rsidP="00C95178">
      <w:pPr>
        <w:rPr>
          <w:rFonts w:ascii="Times New Roman" w:hAnsi="Times New Roman" w:cs="Times New Roman"/>
        </w:rPr>
      </w:pPr>
      <w:r w:rsidRPr="00C95178">
        <w:rPr>
          <w:rFonts w:ascii="Times New Roman" w:hAnsi="Times New Roman" w:cs="Times New Roman"/>
        </w:rPr>
        <w:t>2. Layer 2: Coverage Growth and Optical Attenuation</w:t>
      </w:r>
    </w:p>
    <w:p w14:paraId="48F5F499" w14:textId="355DDA61" w:rsidR="00C95178" w:rsidRDefault="00C95178" w:rsidP="00C95178">
      <w:pPr>
        <w:rPr>
          <w:rFonts w:ascii="Times New Roman" w:hAnsi="Times New Roman" w:cs="Times New Roman"/>
        </w:rPr>
      </w:pPr>
      <w:r w:rsidRPr="00C95178">
        <w:rPr>
          <w:rFonts w:ascii="Times New Roman" w:hAnsi="Times New Roman" w:cs="Times New Roman"/>
        </w:rPr>
        <w:t>2.1 Logistic Coverage-Fraction Model</w:t>
      </w:r>
    </w:p>
    <w:p w14:paraId="614F4563" w14:textId="3F1FB419" w:rsidR="00C95178" w:rsidRDefault="00C95178" w:rsidP="00C95178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After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ind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, </w:t>
      </w:r>
      <w:r w:rsidRPr="00C95178">
        <w:rPr>
          <w:rFonts w:ascii="Times New Roman" w:eastAsiaTheme="minorEastAsia" w:hAnsi="Times New Roman" w:cs="Times New Roman"/>
        </w:rPr>
        <w:t xml:space="preserve">condensate droplets nucleate, grow by </w:t>
      </w:r>
      <w:r w:rsidRPr="00C95178">
        <w:rPr>
          <w:rFonts w:ascii="Times New Roman" w:eastAsiaTheme="minorEastAsia" w:hAnsi="Times New Roman" w:cs="Times New Roman"/>
        </w:rPr>
        <w:t>vapor</w:t>
      </w:r>
      <w:r w:rsidRPr="00C95178">
        <w:rPr>
          <w:rFonts w:ascii="Times New Roman" w:eastAsiaTheme="minorEastAsia" w:hAnsi="Times New Roman" w:cs="Times New Roman"/>
        </w:rPr>
        <w:t xml:space="preserve"> diffusion, and coalesce. The fractional</w:t>
      </w:r>
      <w:r>
        <w:rPr>
          <w:rFonts w:ascii="Times New Roman" w:eastAsiaTheme="minorEastAsia" w:hAnsi="Times New Roman" w:cs="Times New Roman"/>
        </w:rPr>
        <w:t xml:space="preserve"> </w:t>
      </w:r>
      <w:r w:rsidRPr="00C95178">
        <w:rPr>
          <w:rFonts w:ascii="Times New Roman" w:eastAsiaTheme="minorEastAsia" w:hAnsi="Times New Roman" w:cs="Times New Roman"/>
        </w:rPr>
        <w:t>surface coverage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C(t)∈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0,1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</w:t>
      </w:r>
      <w:r w:rsidRPr="00C95178">
        <w:rPr>
          <w:rFonts w:ascii="Times New Roman" w:eastAsiaTheme="minorEastAsia" w:hAnsi="Times New Roman" w:cs="Times New Roman"/>
        </w:rPr>
        <w:t>during the growth phase is modelled as a logistic function:</w:t>
      </w:r>
    </w:p>
    <w:p w14:paraId="1D9829CE" w14:textId="7F2789B8" w:rsidR="00C95178" w:rsidRPr="00C95178" w:rsidRDefault="00C95178" w:rsidP="00C95178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rise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1+exp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ind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1/2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rise</m:t>
                          </m:r>
                        </m:sub>
                      </m:sSub>
                    </m:den>
                  </m:f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ind</m:t>
              </m:r>
            </m:sub>
          </m:sSub>
          <m:r>
            <w:rPr>
              <w:rFonts w:ascii="Cambria Math" w:eastAsiaTheme="minorEastAsia" w:hAnsi="Cambria Math" w:cs="Times New Roman"/>
            </w:rPr>
            <m:t>&lt;t&lt;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heat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       (7) </m:t>
          </m:r>
        </m:oMath>
      </m:oMathPara>
    </w:p>
    <w:p w14:paraId="5473632B" w14:textId="6AB23268" w:rsidR="00C95178" w:rsidRDefault="00C95178" w:rsidP="00C9517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1/2</m:t>
            </m:r>
          </m:sub>
        </m:sSub>
        <m:r>
          <w:rPr>
            <w:rFonts w:ascii="Cambria Math" w:eastAsiaTheme="minorEastAsia" w:hAnsi="Cambria Math" w:cs="Times New Roman"/>
          </w:rPr>
          <m:t>=1.5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rise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centers the inflection point after onset, and the rise width scales with subcooling as:</w:t>
      </w:r>
    </w:p>
    <w:p w14:paraId="54DF3FB8" w14:textId="7C98CF31" w:rsidR="00C95178" w:rsidRPr="00734FE8" w:rsidRDefault="00F40E41" w:rsidP="00C95178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rise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sub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 w:cs="Times New Roman"/>
            </w:rPr>
            <m:t xml:space="preserve">                 (8)</m:t>
          </m:r>
        </m:oMath>
      </m:oMathPara>
    </w:p>
    <w:p w14:paraId="03AA9914" w14:textId="77777777" w:rsidR="00734FE8" w:rsidRPr="00734FE8" w:rsidRDefault="00734FE8" w:rsidP="00734FE8">
      <w:pPr>
        <w:rPr>
          <w:rFonts w:ascii="Times New Roman" w:eastAsiaTheme="minorEastAsia" w:hAnsi="Times New Roman" w:cs="Times New Roman"/>
        </w:rPr>
      </w:pPr>
      <w:r w:rsidRPr="00734FE8">
        <w:rPr>
          <w:rFonts w:ascii="Times New Roman" w:eastAsiaTheme="minorEastAsia" w:hAnsi="Times New Roman" w:cs="Times New Roman"/>
        </w:rPr>
        <w:t>2.2 Plateau Coverage Level</w:t>
      </w:r>
    </w:p>
    <w:p w14:paraId="6D570A50" w14:textId="76B1F2BF" w:rsidR="00734FE8" w:rsidRDefault="00734FE8" w:rsidP="00734FE8">
      <w:pPr>
        <w:rPr>
          <w:rFonts w:ascii="Times New Roman" w:eastAsiaTheme="minorEastAsia" w:hAnsi="Times New Roman" w:cs="Times New Roman"/>
        </w:rPr>
      </w:pPr>
      <w:r w:rsidRPr="00734FE8">
        <w:rPr>
          <w:rFonts w:ascii="Times New Roman" w:eastAsiaTheme="minorEastAsia" w:hAnsi="Times New Roman" w:cs="Times New Roman"/>
        </w:rPr>
        <w:t>The maximum coverage</w:t>
      </w:r>
      <w:r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max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</w:t>
      </w:r>
      <w:r w:rsidRPr="00734FE8">
        <w:rPr>
          <w:rFonts w:ascii="Times New Roman" w:eastAsiaTheme="minorEastAsia" w:hAnsi="Times New Roman" w:cs="Times New Roman"/>
        </w:rPr>
        <w:t>is set by the balance between condensation driving force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(</m:t>
        </m:r>
        <m:r>
          <w:rPr>
            <w:rFonts w:ascii="Cambria Math" w:hAnsi="Cambria Math" w:cs="Times New Roman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sub</m:t>
            </m:r>
          </m:sub>
        </m:sSub>
        <m:r>
          <w:rPr>
            <w:rFonts w:ascii="Cambria Math" w:hAnsi="Cambria Math" w:cs="Times New Roman"/>
          </w:rPr>
          <m:t>)</m:t>
        </m:r>
      </m:oMath>
      <w:r>
        <w:rPr>
          <w:rFonts w:ascii="Times New Roman" w:eastAsiaTheme="minorEastAsia" w:hAnsi="Times New Roman" w:cs="Times New Roman"/>
        </w:rPr>
        <w:t xml:space="preserve"> </w:t>
      </w:r>
      <w:r w:rsidRPr="00734FE8">
        <w:rPr>
          <w:rFonts w:ascii="Times New Roman" w:eastAsiaTheme="minorEastAsia" w:hAnsi="Times New Roman" w:cs="Times New Roman"/>
        </w:rPr>
        <w:t xml:space="preserve">and available </w:t>
      </w:r>
      <w:r w:rsidRPr="00734FE8">
        <w:rPr>
          <w:rFonts w:ascii="Times New Roman" w:eastAsiaTheme="minorEastAsia" w:hAnsi="Times New Roman" w:cs="Times New Roman"/>
        </w:rPr>
        <w:t>vapor</w:t>
      </w:r>
      <w:r w:rsidRPr="00734FE8">
        <w:rPr>
          <w:rFonts w:ascii="Times New Roman" w:eastAsiaTheme="minorEastAsia" w:hAnsi="Times New Roman" w:cs="Times New Roman"/>
        </w:rPr>
        <w:t xml:space="preserve"> supply (RH):</w:t>
      </w:r>
    </w:p>
    <w:p w14:paraId="4BA453B8" w14:textId="475EE1B5" w:rsidR="00734FE8" w:rsidRDefault="00734FE8" w:rsidP="00734FE8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max,0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sub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∆T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char</m:t>
                          </m:r>
                        </m:sub>
                      </m:sSub>
                    </m:den>
                  </m:f>
                </m:sup>
              </m:sSup>
            </m:e>
          </m:d>
          <m:r>
            <w:rPr>
              <w:rFonts w:ascii="Cambria Math" w:eastAsiaTheme="minorEastAsia" w:hAnsi="Cambria Math" w:cs="Times New Roman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RH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RH</m:t>
                  </m:r>
                </m:sub>
              </m:sSub>
            </m:sup>
          </m:sSup>
          <m:r>
            <w:rPr>
              <w:rFonts w:ascii="Cambria Math" w:eastAsiaTheme="minorEastAsia" w:hAnsi="Cambria Math" w:cs="Times New Roman"/>
            </w:rPr>
            <m:t xml:space="preserve">      (9)</m:t>
          </m:r>
        </m:oMath>
      </m:oMathPara>
    </w:p>
    <w:p w14:paraId="45853FE1" w14:textId="00A7E0F7" w:rsidR="00734FE8" w:rsidRPr="00C95178" w:rsidRDefault="00734FE8" w:rsidP="00734FE8">
      <w:pPr>
        <w:rPr>
          <w:rFonts w:ascii="Times New Roman" w:eastAsiaTheme="minorEastAsia" w:hAnsi="Times New Roman" w:cs="Times New Roman"/>
        </w:rPr>
      </w:pPr>
      <w:r w:rsidRPr="00734FE8">
        <w:rPr>
          <w:rFonts w:ascii="Times New Roman" w:eastAsiaTheme="minorEastAsia" w:hAnsi="Times New Roman" w:cs="Times New Roman"/>
        </w:rPr>
        <w:t>2.3 Optical Transmittance: Beer–Lambert Kernel</w:t>
      </w:r>
    </w:p>
    <w:p w14:paraId="387037B1" w14:textId="2CC3CE98" w:rsidR="006B2ABE" w:rsidRDefault="00E213B0" w:rsidP="006B2ABE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Coverage </w:t>
      </w:r>
      <m:oMath>
        <m:r>
          <w:rPr>
            <w:rFonts w:ascii="Cambria Math" w:hAnsi="Cambria Math" w:cs="Times New Roman"/>
          </w:rPr>
          <m:t>C(t)</m:t>
        </m:r>
      </m:oMath>
      <w:r>
        <w:rPr>
          <w:rFonts w:ascii="Times New Roman" w:eastAsiaTheme="minorEastAsia" w:hAnsi="Times New Roman" w:cs="Times New Roman"/>
        </w:rPr>
        <w:t xml:space="preserve"> is mapped to transmittance </w:t>
      </w:r>
      <m:oMath>
        <m:r>
          <w:rPr>
            <w:rFonts w:ascii="Cambria Math" w:eastAsiaTheme="minorEastAsia" w:hAnsi="Cambria Math" w:cs="Times New Roman"/>
          </w:rPr>
          <m:t>τ(t)</m:t>
        </m:r>
      </m:oMath>
      <w:r>
        <w:rPr>
          <w:rFonts w:ascii="Times New Roman" w:eastAsiaTheme="minorEastAsia" w:hAnsi="Times New Roman" w:cs="Times New Roman"/>
        </w:rPr>
        <w:t xml:space="preserve"> via the Beer-Lambert law:</w:t>
      </w:r>
    </w:p>
    <w:p w14:paraId="236F3D87" w14:textId="2FE49FB2" w:rsidR="00E213B0" w:rsidRPr="00E213B0" w:rsidRDefault="00E213B0" w:rsidP="006B2ABE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τ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=exp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eff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∙</m:t>
              </m:r>
              <m:r>
                <w:rPr>
                  <w:rFonts w:ascii="Cambria Math" w:hAnsi="Cambria Math" w:cs="Times New Roman"/>
                </w:rPr>
                <m:t>C(t)</m:t>
              </m:r>
            </m:e>
          </m:d>
          <m:r>
            <w:rPr>
              <w:rFonts w:ascii="Cambria Math" w:eastAsiaTheme="minorEastAsia" w:hAnsi="Cambria Math" w:cs="Times New Roman"/>
            </w:rPr>
            <m:t xml:space="preserve">,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eff</m:t>
              </m:r>
            </m:sub>
          </m:sSub>
          <m:r>
            <w:rPr>
              <w:rFonts w:ascii="Cambria Math" w:eastAsiaTheme="minorEastAsia" w:hAnsi="Cambria Math" w:cs="Times New Roman"/>
            </w:rPr>
            <m:t>=-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min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 xml:space="preserve">                       (10)</m:t>
              </m:r>
            </m:e>
          </m:func>
          <m:r>
            <w:rPr>
              <w:rFonts w:ascii="Cambria Math" w:eastAsiaTheme="minorEastAsia" w:hAnsi="Cambria Math" w:cs="Times New Roman"/>
            </w:rPr>
            <m:t xml:space="preserve"> </m:t>
          </m:r>
        </m:oMath>
      </m:oMathPara>
    </w:p>
    <w:p w14:paraId="16EFB5E6" w14:textId="77777777" w:rsidR="00E213B0" w:rsidRDefault="00E213B0" w:rsidP="006B2ABE">
      <w:pPr>
        <w:rPr>
          <w:rFonts w:ascii="Times New Roman" w:hAnsi="Times New Roman" w:cs="Times New Roman"/>
        </w:rPr>
      </w:pPr>
    </w:p>
    <w:p w14:paraId="70445F59" w14:textId="1DE7C9E0" w:rsidR="00E213B0" w:rsidRDefault="00E213B0" w:rsidP="006B2AB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03866FF" wp14:editId="6ED42F8F">
            <wp:extent cx="5859668" cy="4427135"/>
            <wp:effectExtent l="0" t="0" r="8255" b="0"/>
            <wp:docPr id="23231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10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9668" cy="442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ECC7" w14:textId="6CC1D7E5" w:rsidR="00E213B0" w:rsidRDefault="00E213B0" w:rsidP="006B2A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 1. </w:t>
      </w:r>
      <m:oMath>
        <m:r>
          <w:rPr>
            <w:rFonts w:ascii="Cambria Math" w:eastAsiaTheme="minorEastAsia" w:hAnsi="Cambria Math" w:cs="Times New Roman"/>
          </w:rPr>
          <m:t>τ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</m:oMath>
      <w:r>
        <w:rPr>
          <w:rFonts w:ascii="Times New Roman" w:hAnsi="Times New Roman" w:cs="Times New Roman"/>
        </w:rPr>
        <w:t xml:space="preserve"> Model</w:t>
      </w:r>
    </w:p>
    <w:p w14:paraId="6887644C" w14:textId="1CE3210E" w:rsidR="00E213B0" w:rsidRDefault="00E213B0" w:rsidP="006B2AB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77DDA4" wp14:editId="217EC854">
            <wp:extent cx="4476664" cy="2834586"/>
            <wp:effectExtent l="0" t="0" r="635" b="4445"/>
            <wp:docPr id="84473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34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664" cy="28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4C01" w14:textId="4478E874" w:rsidR="00E213B0" w:rsidRDefault="00E213B0" w:rsidP="006B2A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 2. Sensitivity sweep </w:t>
      </w:r>
      <m:oMath>
        <m:r>
          <w:rPr>
            <w:rFonts w:ascii="Cambria Math" w:hAnsi="Cambria Math" w:cs="Times New Roman"/>
          </w:rPr>
          <m:t>∆T</m:t>
        </m:r>
      </m:oMath>
    </w:p>
    <w:p w14:paraId="7A094F9C" w14:textId="5321FEBB" w:rsidR="00D84214" w:rsidRPr="00D84214" w:rsidRDefault="00D84214" w:rsidP="00D84214">
      <w:pPr>
        <w:rPr>
          <w:rFonts w:ascii="Times New Roman" w:hAnsi="Times New Roman" w:cs="Times New Roman"/>
        </w:rPr>
      </w:pPr>
      <w:r w:rsidRPr="00D84214">
        <w:rPr>
          <w:rFonts w:ascii="Times New Roman" w:hAnsi="Times New Roman" w:cs="Times New Roman"/>
        </w:rPr>
        <w:lastRenderedPageBreak/>
        <w:t>References:</w:t>
      </w:r>
    </w:p>
    <w:p w14:paraId="6115CC07" w14:textId="2EC29636" w:rsidR="00D84214" w:rsidRPr="00D84214" w:rsidRDefault="00D84214" w:rsidP="00D842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84214">
        <w:rPr>
          <w:rFonts w:ascii="Times New Roman" w:hAnsi="Times New Roman" w:cs="Times New Roman"/>
        </w:rPr>
        <w:t xml:space="preserve">Fletcher, N. H. (1958). Size effect in heterogeneous nucleation. </w:t>
      </w:r>
      <w:r w:rsidRPr="00D84214">
        <w:rPr>
          <w:rFonts w:ascii="Times New Roman" w:hAnsi="Times New Roman" w:cs="Times New Roman"/>
          <w:i/>
          <w:iCs/>
        </w:rPr>
        <w:t>Journal of Chemical Physics, 29</w:t>
      </w:r>
      <w:r w:rsidRPr="00D84214">
        <w:rPr>
          <w:rFonts w:ascii="Times New Roman" w:hAnsi="Times New Roman" w:cs="Times New Roman"/>
        </w:rPr>
        <w:t xml:space="preserve">(3), 572–576. </w:t>
      </w:r>
      <w:hyperlink r:id="rId7" w:tgtFrame="_new" w:history="1">
        <w:r w:rsidRPr="00D84214">
          <w:rPr>
            <w:rStyle w:val="Hyperlink"/>
            <w:rFonts w:ascii="Times New Roman" w:hAnsi="Times New Roman" w:cs="Times New Roman"/>
          </w:rPr>
          <w:t>https://doi.org/10.1063/1.1744540</w:t>
        </w:r>
      </w:hyperlink>
    </w:p>
    <w:p w14:paraId="1C411C16" w14:textId="77777777" w:rsidR="00D84214" w:rsidRPr="00D84214" w:rsidRDefault="00D84214" w:rsidP="00D842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84214">
        <w:rPr>
          <w:rFonts w:ascii="Times New Roman" w:hAnsi="Times New Roman" w:cs="Times New Roman"/>
        </w:rPr>
        <w:t xml:space="preserve">Carey, V. P. (2008). </w:t>
      </w:r>
      <w:r w:rsidRPr="00D84214">
        <w:rPr>
          <w:rFonts w:ascii="Times New Roman" w:hAnsi="Times New Roman" w:cs="Times New Roman"/>
          <w:i/>
          <w:iCs/>
        </w:rPr>
        <w:t>Liquid-vapor phase-change phenomena</w:t>
      </w:r>
      <w:r w:rsidRPr="00D84214">
        <w:rPr>
          <w:rFonts w:ascii="Times New Roman" w:hAnsi="Times New Roman" w:cs="Times New Roman"/>
        </w:rPr>
        <w:t xml:space="preserve"> (2nd ed.). Taylor &amp; Francis.</w:t>
      </w:r>
    </w:p>
    <w:p w14:paraId="08DF2EEB" w14:textId="77777777" w:rsidR="00D84214" w:rsidRPr="00D84214" w:rsidRDefault="00D84214" w:rsidP="00D842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84214">
        <w:rPr>
          <w:rFonts w:ascii="Times New Roman" w:hAnsi="Times New Roman" w:cs="Times New Roman"/>
        </w:rPr>
        <w:t>Alduchov</w:t>
      </w:r>
      <w:proofErr w:type="spellEnd"/>
      <w:r w:rsidRPr="00D84214">
        <w:rPr>
          <w:rFonts w:ascii="Times New Roman" w:hAnsi="Times New Roman" w:cs="Times New Roman"/>
        </w:rPr>
        <w:t>, O. A., &amp; Eskridge, R. E. (1996). Improved Magnus Form Approximation of Saturation Vapor Pressure. </w:t>
      </w:r>
      <w:r w:rsidRPr="00D84214">
        <w:rPr>
          <w:rFonts w:ascii="Times New Roman" w:hAnsi="Times New Roman" w:cs="Times New Roman"/>
          <w:i/>
          <w:iCs/>
        </w:rPr>
        <w:t>Journal of Applied Meteorology and Climatology</w:t>
      </w:r>
      <w:r w:rsidRPr="00D84214">
        <w:rPr>
          <w:rFonts w:ascii="Times New Roman" w:hAnsi="Times New Roman" w:cs="Times New Roman"/>
        </w:rPr>
        <w:t>, </w:t>
      </w:r>
      <w:r w:rsidRPr="00D84214">
        <w:rPr>
          <w:rFonts w:ascii="Times New Roman" w:hAnsi="Times New Roman" w:cs="Times New Roman"/>
          <w:i/>
          <w:iCs/>
        </w:rPr>
        <w:t>35</w:t>
      </w:r>
      <w:r w:rsidRPr="00D84214">
        <w:rPr>
          <w:rFonts w:ascii="Times New Roman" w:hAnsi="Times New Roman" w:cs="Times New Roman"/>
        </w:rPr>
        <w:t>(4), 601-609. </w:t>
      </w:r>
      <w:hyperlink r:id="rId8" w:tgtFrame="_blank" w:history="1">
        <w:r w:rsidRPr="00D84214">
          <w:rPr>
            <w:rStyle w:val="Hyperlink"/>
            <w:rFonts w:ascii="Times New Roman" w:hAnsi="Times New Roman" w:cs="Times New Roman"/>
          </w:rPr>
          <w:t>https://doi.org/10.1175/1520-0450(1996)035&lt;0601:IMFAOS&gt;2.0.CO;2</w:t>
        </w:r>
      </w:hyperlink>
    </w:p>
    <w:p w14:paraId="7517A650" w14:textId="77777777" w:rsidR="00D84214" w:rsidRPr="00D84214" w:rsidRDefault="00D84214" w:rsidP="00D842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84214">
        <w:rPr>
          <w:rFonts w:ascii="Times New Roman" w:hAnsi="Times New Roman" w:cs="Times New Roman"/>
        </w:rPr>
        <w:t xml:space="preserve">Thomas, T. M., Mahapatra, P. S., Ganguly, R., &amp; Tiwari, M. K. (2023). Preferred mode of atmospheric water vapor condensation on nanoengineered surfaces: Dropwise or </w:t>
      </w:r>
      <w:proofErr w:type="spellStart"/>
      <w:r w:rsidRPr="00D84214">
        <w:rPr>
          <w:rFonts w:ascii="Times New Roman" w:hAnsi="Times New Roman" w:cs="Times New Roman"/>
        </w:rPr>
        <w:t>filmwise</w:t>
      </w:r>
      <w:proofErr w:type="spellEnd"/>
      <w:r w:rsidRPr="00D84214">
        <w:rPr>
          <w:rFonts w:ascii="Times New Roman" w:hAnsi="Times New Roman" w:cs="Times New Roman"/>
        </w:rPr>
        <w:t xml:space="preserve">? </w:t>
      </w:r>
      <w:r w:rsidRPr="00D84214">
        <w:rPr>
          <w:rFonts w:ascii="Times New Roman" w:hAnsi="Times New Roman" w:cs="Times New Roman"/>
          <w:i/>
          <w:iCs/>
        </w:rPr>
        <w:t>Langmuir, 39</w:t>
      </w:r>
      <w:r w:rsidRPr="00D84214">
        <w:rPr>
          <w:rFonts w:ascii="Times New Roman" w:hAnsi="Times New Roman" w:cs="Times New Roman"/>
        </w:rPr>
        <w:t xml:space="preserve">(15), 5396–5407. </w:t>
      </w:r>
      <w:hyperlink r:id="rId9" w:history="1">
        <w:r w:rsidRPr="00D84214">
          <w:rPr>
            <w:rStyle w:val="Hyperlink"/>
            <w:rFonts w:ascii="Times New Roman" w:hAnsi="Times New Roman" w:cs="Times New Roman"/>
          </w:rPr>
          <w:t>https://doi.org/10.1021/acs.langmuir.3c00022</w:t>
        </w:r>
      </w:hyperlink>
    </w:p>
    <w:p w14:paraId="27544D11" w14:textId="77777777" w:rsidR="00D84214" w:rsidRPr="00D84214" w:rsidRDefault="00D84214" w:rsidP="00D842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84214">
        <w:rPr>
          <w:rFonts w:ascii="Times New Roman" w:hAnsi="Times New Roman" w:cs="Times New Roman"/>
        </w:rPr>
        <w:t>Kim, H., Yang, Y., Kim, Y., Jang, D.-W., Choi, D., Park, K., Chung, S., &amp; Kim, D. (2025). Effect of Droplet Contamination on Camera Lens Surfaces: Degradation of Image Quality and Object Detection Performance. </w:t>
      </w:r>
      <w:r w:rsidRPr="00D84214">
        <w:rPr>
          <w:rFonts w:ascii="Times New Roman" w:hAnsi="Times New Roman" w:cs="Times New Roman"/>
          <w:i/>
          <w:iCs/>
        </w:rPr>
        <w:t>Applied Sciences</w:t>
      </w:r>
      <w:r w:rsidRPr="00D84214">
        <w:rPr>
          <w:rFonts w:ascii="Times New Roman" w:hAnsi="Times New Roman" w:cs="Times New Roman"/>
        </w:rPr>
        <w:t>, </w:t>
      </w:r>
      <w:r w:rsidRPr="00D84214">
        <w:rPr>
          <w:rFonts w:ascii="Times New Roman" w:hAnsi="Times New Roman" w:cs="Times New Roman"/>
          <w:i/>
          <w:iCs/>
        </w:rPr>
        <w:t>15</w:t>
      </w:r>
      <w:r w:rsidRPr="00D84214">
        <w:rPr>
          <w:rFonts w:ascii="Times New Roman" w:hAnsi="Times New Roman" w:cs="Times New Roman"/>
        </w:rPr>
        <w:t xml:space="preserve">(5), 2690. </w:t>
      </w:r>
      <w:hyperlink r:id="rId10" w:history="1">
        <w:r w:rsidRPr="00D84214">
          <w:rPr>
            <w:rStyle w:val="Hyperlink"/>
            <w:rFonts w:ascii="Times New Roman" w:hAnsi="Times New Roman" w:cs="Times New Roman"/>
          </w:rPr>
          <w:t>https://doi.org/10.3390/app15052690</w:t>
        </w:r>
      </w:hyperlink>
    </w:p>
    <w:p w14:paraId="681D3E58" w14:textId="77777777" w:rsidR="00D84214" w:rsidRPr="00D84214" w:rsidRDefault="00D84214" w:rsidP="00D842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84214">
        <w:rPr>
          <w:rFonts w:ascii="Times New Roman" w:hAnsi="Times New Roman" w:cs="Times New Roman"/>
        </w:rPr>
        <w:t>Zhang, K., Xu, Y., Xu, S., Lin, X., Zhou, J., Liu, Z., Li, Y., &amp; Wei, H. (2025). Optical–Structural Optimization for Condensation Suppression in Automotive Camera Modules. </w:t>
      </w:r>
      <w:r w:rsidRPr="00D84214">
        <w:rPr>
          <w:rFonts w:ascii="Times New Roman" w:hAnsi="Times New Roman" w:cs="Times New Roman"/>
          <w:i/>
          <w:iCs/>
        </w:rPr>
        <w:t>Sensors</w:t>
      </w:r>
      <w:r w:rsidRPr="00D84214">
        <w:rPr>
          <w:rFonts w:ascii="Times New Roman" w:hAnsi="Times New Roman" w:cs="Times New Roman"/>
        </w:rPr>
        <w:t>, </w:t>
      </w:r>
      <w:r w:rsidRPr="00D84214">
        <w:rPr>
          <w:rFonts w:ascii="Times New Roman" w:hAnsi="Times New Roman" w:cs="Times New Roman"/>
          <w:i/>
          <w:iCs/>
        </w:rPr>
        <w:t>25</w:t>
      </w:r>
      <w:r w:rsidRPr="00D84214">
        <w:rPr>
          <w:rFonts w:ascii="Times New Roman" w:hAnsi="Times New Roman" w:cs="Times New Roman"/>
        </w:rPr>
        <w:t xml:space="preserve">(21), 6515. </w:t>
      </w:r>
      <w:hyperlink r:id="rId11" w:history="1">
        <w:r w:rsidRPr="00D84214">
          <w:rPr>
            <w:rStyle w:val="Hyperlink"/>
            <w:rFonts w:ascii="Times New Roman" w:hAnsi="Times New Roman" w:cs="Times New Roman"/>
          </w:rPr>
          <w:t>https://doi.org/10.3390/s25216515</w:t>
        </w:r>
      </w:hyperlink>
    </w:p>
    <w:p w14:paraId="44EDA683" w14:textId="77777777" w:rsidR="00D84214" w:rsidRPr="00D84214" w:rsidRDefault="00D84214" w:rsidP="00D842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84214">
        <w:rPr>
          <w:rFonts w:ascii="Times New Roman" w:hAnsi="Times New Roman" w:cs="Times New Roman"/>
        </w:rPr>
        <w:t xml:space="preserve">Bohren, C. F., &amp; Huffman, D. R. (1983). </w:t>
      </w:r>
      <w:r w:rsidRPr="00D84214">
        <w:rPr>
          <w:rFonts w:ascii="Times New Roman" w:hAnsi="Times New Roman" w:cs="Times New Roman"/>
          <w:i/>
          <w:iCs/>
        </w:rPr>
        <w:t>Absorption and scattering of light by small particles</w:t>
      </w:r>
      <w:r w:rsidRPr="00D84214">
        <w:rPr>
          <w:rFonts w:ascii="Times New Roman" w:hAnsi="Times New Roman" w:cs="Times New Roman"/>
        </w:rPr>
        <w:t>. Wiley.</w:t>
      </w:r>
    </w:p>
    <w:p w14:paraId="6C19C2AF" w14:textId="77777777" w:rsidR="00D84214" w:rsidRPr="00D84214" w:rsidRDefault="00D84214" w:rsidP="00D842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84214">
        <w:rPr>
          <w:rFonts w:ascii="Times New Roman" w:hAnsi="Times New Roman" w:cs="Times New Roman"/>
        </w:rPr>
        <w:t xml:space="preserve">Hendrycks, D., &amp; Dietterich, T. (2019). Benchmarking neural network robustness to common corruptions. </w:t>
      </w:r>
      <w:r w:rsidRPr="00D84214">
        <w:rPr>
          <w:rFonts w:ascii="Times New Roman" w:hAnsi="Times New Roman" w:cs="Times New Roman"/>
          <w:i/>
          <w:iCs/>
        </w:rPr>
        <w:t>Proceedings of the International Conference on Learning Representations (ICLR)</w:t>
      </w:r>
      <w:r w:rsidRPr="00D84214">
        <w:rPr>
          <w:rFonts w:ascii="Times New Roman" w:hAnsi="Times New Roman" w:cs="Times New Roman"/>
        </w:rPr>
        <w:t>.</w:t>
      </w:r>
    </w:p>
    <w:p w14:paraId="334E9E46" w14:textId="77777777" w:rsidR="00D84214" w:rsidRPr="00D84214" w:rsidRDefault="00D84214" w:rsidP="00D842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84214">
        <w:rPr>
          <w:rFonts w:ascii="Times New Roman" w:hAnsi="Times New Roman" w:cs="Times New Roman"/>
        </w:rPr>
        <w:t xml:space="preserve">Kong, X., </w:t>
      </w:r>
      <w:r w:rsidRPr="00D84214">
        <w:rPr>
          <w:rFonts w:ascii="Times New Roman" w:hAnsi="Times New Roman" w:cs="Times New Roman"/>
          <w:i/>
          <w:iCs/>
        </w:rPr>
        <w:t>et al.</w:t>
      </w:r>
      <w:r w:rsidRPr="00D84214">
        <w:rPr>
          <w:rFonts w:ascii="Times New Roman" w:hAnsi="Times New Roman" w:cs="Times New Roman"/>
        </w:rPr>
        <w:t xml:space="preserve"> (2023). Benchmarking robustness of 3D object detection to common corruptions. </w:t>
      </w:r>
      <w:proofErr w:type="spellStart"/>
      <w:r w:rsidRPr="00D84214">
        <w:rPr>
          <w:rFonts w:ascii="Times New Roman" w:hAnsi="Times New Roman" w:cs="Times New Roman"/>
          <w:i/>
          <w:iCs/>
        </w:rPr>
        <w:t>arXiv</w:t>
      </w:r>
      <w:proofErr w:type="spellEnd"/>
      <w:r w:rsidRPr="00D84214">
        <w:rPr>
          <w:rFonts w:ascii="Times New Roman" w:hAnsi="Times New Roman" w:cs="Times New Roman"/>
        </w:rPr>
        <w:t xml:space="preserve">. </w:t>
      </w:r>
      <w:hyperlink r:id="rId12" w:tgtFrame="_new" w:history="1">
        <w:r w:rsidRPr="00D84214">
          <w:rPr>
            <w:rStyle w:val="Hyperlink"/>
            <w:rFonts w:ascii="Times New Roman" w:hAnsi="Times New Roman" w:cs="Times New Roman"/>
          </w:rPr>
          <w:t>https://arxiv.org/abs/2303.11040</w:t>
        </w:r>
      </w:hyperlink>
    </w:p>
    <w:p w14:paraId="3DC9FECA" w14:textId="77777777" w:rsidR="005B66C6" w:rsidRDefault="005B66C6">
      <w:pPr>
        <w:rPr>
          <w:rFonts w:ascii="Times New Roman" w:hAnsi="Times New Roman" w:cs="Times New Roman"/>
        </w:rPr>
      </w:pPr>
    </w:p>
    <w:p w14:paraId="022C7C26" w14:textId="77777777" w:rsidR="00E213B0" w:rsidRDefault="00E213B0">
      <w:pPr>
        <w:rPr>
          <w:rFonts w:ascii="Times New Roman" w:hAnsi="Times New Roman" w:cs="Times New Roman"/>
        </w:rPr>
      </w:pPr>
    </w:p>
    <w:p w14:paraId="4E0D5E06" w14:textId="77777777" w:rsidR="0073439E" w:rsidRDefault="0073439E">
      <w:pPr>
        <w:rPr>
          <w:rFonts w:ascii="Times New Roman" w:hAnsi="Times New Roman" w:cs="Times New Roman"/>
        </w:rPr>
      </w:pPr>
    </w:p>
    <w:p w14:paraId="749474DB" w14:textId="77777777" w:rsidR="00E213B0" w:rsidRPr="00D84214" w:rsidRDefault="00E213B0">
      <w:pPr>
        <w:rPr>
          <w:rFonts w:ascii="Times New Roman" w:hAnsi="Times New Roman" w:cs="Times New Roman"/>
        </w:rPr>
      </w:pPr>
    </w:p>
    <w:sectPr w:rsidR="00E213B0" w:rsidRPr="00D84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F1C41"/>
    <w:multiLevelType w:val="hybridMultilevel"/>
    <w:tmpl w:val="1BFE2C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89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214"/>
    <w:rsid w:val="00132A31"/>
    <w:rsid w:val="00421F87"/>
    <w:rsid w:val="00573B56"/>
    <w:rsid w:val="005B66C6"/>
    <w:rsid w:val="006B2ABE"/>
    <w:rsid w:val="00722A6A"/>
    <w:rsid w:val="0073439E"/>
    <w:rsid w:val="00734FE8"/>
    <w:rsid w:val="008A2231"/>
    <w:rsid w:val="008E4845"/>
    <w:rsid w:val="00A31574"/>
    <w:rsid w:val="00C95178"/>
    <w:rsid w:val="00D84214"/>
    <w:rsid w:val="00E213B0"/>
    <w:rsid w:val="00E87E01"/>
    <w:rsid w:val="00F40E41"/>
    <w:rsid w:val="00F9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A40EC"/>
  <w15:chartTrackingRefBased/>
  <w15:docId w15:val="{0790DB6B-A3A5-4B54-9CCD-5DC01F035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214"/>
  </w:style>
  <w:style w:type="paragraph" w:styleId="Heading1">
    <w:name w:val="heading 1"/>
    <w:basedOn w:val="Normal"/>
    <w:next w:val="Normal"/>
    <w:link w:val="Heading1Char"/>
    <w:uiPriority w:val="9"/>
    <w:qFormat/>
    <w:rsid w:val="00D84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2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4214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84214"/>
    <w:rPr>
      <w:color w:val="666666"/>
    </w:rPr>
  </w:style>
  <w:style w:type="table" w:styleId="TableGrid">
    <w:name w:val="Table Grid"/>
    <w:basedOn w:val="TableNormal"/>
    <w:uiPriority w:val="39"/>
    <w:rsid w:val="00573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75/1520-0450(1996)035%3C0601:IMFAOS%3E2.0.CO;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063/1.1744540" TargetMode="External"/><Relationship Id="rId12" Type="http://schemas.openxmlformats.org/officeDocument/2006/relationships/hyperlink" Target="https://arxiv.org/abs/2303.110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i.org/10.3390/s25216515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i.org/10.3390/app1505269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21/acs.langmuir.3c0002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Yashitha Thuraka</dc:creator>
  <cp:keywords/>
  <dc:description/>
  <cp:lastModifiedBy>Yashitha Thuraka</cp:lastModifiedBy>
  <cp:revision>6</cp:revision>
  <dcterms:created xsi:type="dcterms:W3CDTF">2026-04-30T22:14:00Z</dcterms:created>
  <dcterms:modified xsi:type="dcterms:W3CDTF">2026-04-30T23:36:00Z</dcterms:modified>
</cp:coreProperties>
</file>