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RAMS 2027 Abstract — Submission Copy</w:t>
      </w:r>
    </w:p>
    <w:p>
      <w:pPr>
        <w:spacing w:after="320"/>
      </w:pPr>
      <w:r>
        <w:rPr>
          <w:i/>
          <w:iCs/>
        </w:rPr>
        <w:t xml:space="preserve">Prepared for the xcdsystem.com submission portal · Submission deadline: April 30, 2026</w:t>
      </w:r>
    </w:p>
    <w:p>
      <w:pPr>
        <w:pStyle w:val="Heading1"/>
      </w:pPr>
      <w:r>
        <w:t xml:space="preserve">Title</w:t>
      </w:r>
    </w:p>
    <w:p>
      <w:pPr>
        <w:spacing w:after="160"/>
      </w:pPr>
      <w:r>
        <w:rPr>
          <w:b/>
          <w:bCs/>
        </w:rPr>
        <w:t xml:space="preserve">Physics-Informed Reliability of AV Camera Perception Under Thermal Degradation</w:t>
      </w:r>
    </w:p>
    <w:p>
      <w:pPr>
        <w:spacing w:after="160"/>
      </w:pPr>
      <w:r>
        <w:rPr>
          <w:i/>
          <w:iCs/>
        </w:rPr>
        <w:t xml:space="preserve">78 characters (limit: 80)</w:t>
      </w:r>
    </w:p>
    <w:p>
      <w:pPr>
        <w:pStyle w:val="Heading1"/>
      </w:pPr>
      <w:r>
        <w:t xml:space="preserve">Abstract</w:t>
      </w:r>
    </w:p>
    <w:p>
      <w:pPr>
        <w:spacing w:after="160"/>
      </w:pPr>
      <w:r>
        <w:rPr>
          <w:i/>
          <w:iCs/>
        </w:rPr>
        <w:t xml:space="preserve">Approx. 710 words (limit: 1000). Plain text — no equations, figures, or tables. No author names.</w:t>
      </w:r>
    </w:p>
    <w:p>
      <w:pPr>
        <w:spacing w:after="160"/>
      </w:pPr>
      <w:r>
        <w:t xml:space="preserve">Camera-based perception is among the most widely deployed sensing modalities in autonomous vehicles, yet the reliability of perception systems is typically reported as aggregate accuracy on benchmark datasets that emphasize clean or lightly augmented imagery. This framing aggregates over — and therefore conceals — physically grounded failure modes that are short-lived but potentially safety-critical. When a vehicle transitions across a temperature gradient, condensation, frost, or ice can form on the camera enclosure window, attenuating and scattering the optical path. Detection accuracy collapses for an interval whose duration depends on environmental conditions and on the surface properties of the enclosure, and recovers as the surface clears. From a reliability and maintainability standpoint, this constitutes an availability problem: the perception subsystem becomes unavailable for a bounded interval after the triggering event, and the autonomous stack inherits a corresponding loss of operational capability. Aggregate accuracy on benchmark datasets cannot quantify this interval or guide the engineering decisions — heater sizing, surface treatment, activation policy — that bound it.</w:t>
      </w:r>
    </w:p>
    <w:p>
      <w:pPr>
        <w:spacing w:after="160"/>
      </w:pPr>
      <w:r>
        <w:t xml:space="preserve">Existing literature addresses pieces of this problem in isolation. Image-corruption robustness benchmarks treat optical degradation as a static property of individual frames, disconnected from the physical conditions that produce it. Sensor fault-injection studies model failures as stochastic or adversarial events without grounding them in environmental physics. Adverse-weather simulation work for autonomous vehicles typically emphasizes steady-state conditions of constant intensity rather than the time-varying onset and recovery dynamics that characterize thermally induced optical degradation on a sensor surface. Automotive defrost engineering addresses the driver's windshield rather than the small optical apertures of perception payloads, which have different geometry, optical requirements, and reliability budgets.</w:t>
      </w:r>
    </w:p>
    <w:p>
      <w:pPr>
        <w:spacing w:after="160"/>
      </w:pPr>
      <w:r>
        <w:t xml:space="preserve">This paper proposes a physics-informed reliability framework for autonomous-vehicle camera perception under thermally induced optical degradation. The framework integrates three layers. First, a computational physical model of evolving optical degradation on the camera enclosure window, parameterized by ambient temperature differential, relative humidity, and substrate properties, and grounded in classical heterogeneous nucleation theory together with established optical attenuation and scattering relationships. The model is calibrated against the published experimental record on droplet condensation and lens fogging, with calibration residuals reported to define the regime of defensible application. Second, a dataset-level corruption pipeline that applies the physical model as a parameterized, time-varying optical filter to public autonomous-vehicle perception datasets, producing degraded image streams indexed by environmental conditions while preserving the original ground-truth annotations. Third, a perception-level reliability characterization that runs object-detection and lane-tracking pipelines representative of contemporary deployed AV perception stacks across the corrupted streams, and reports availability as a function of environmental conditions and surface treatment, capturing both the depth and the duration of the degradation event.</w:t>
      </w:r>
    </w:p>
    <w:p>
      <w:pPr>
        <w:spacing w:after="160"/>
      </w:pPr>
      <w:r>
        <w:t xml:space="preserve">The framework yields three contributions. The first is methodological: a physics-informed, evolving-state degradation model integrated with an availability-based reliability metric, expressed as a time-resolved availability function rather than a frame-level accuracy score. This formulation captures the time-varying regime in which the system experiences a bounded blackout interval followed by recovery, and reduces to a quasi-static degradation regime as a limiting case when the recovery timescale exceeds the operational window. The second is empirical: a reliability characterization of multiple perception architectures across a parameterized matrix of environmental conditions and surface treatments, evaluated on widely cited public datasets including BDD100K, KITTI, and nuScenes. The third is engineering-facing: a design tool that, given a reliability budget defined as an availability threshold across an exposure profile, derives a thermal mitigation specification — minimum heater power, activation policy, or surface-treatment selection — sufficient to keep the perception subsystem within budget. The design tool is presented as a nomograph-style artifact suitable for use in enclosure design and integration.</w:t>
      </w:r>
    </w:p>
    <w:p>
      <w:pPr>
        <w:spacing w:after="160"/>
      </w:pPr>
      <w:r>
        <w:t xml:space="preserve">The work is grounded in the physics of optical degradation on engineered surfaces and in classical heterogeneous nucleation theory, which provides a unified mathematical apparatus across condensation and crystalline-deposition regimes. The corruption pipeline operates on standard public datasets without proprietary measurements or hardware dependencies, supporting reproducibility and external evaluation. The perception evaluation employs publicly available models and standard reliability metrics, allowing reported numbers to be located within the existing benchmark literature.</w:t>
      </w:r>
    </w:p>
    <w:p>
      <w:pPr>
        <w:spacing w:after="160"/>
      </w:pPr>
      <w:r>
        <w:t xml:space="preserve">By treating machine-learning-based perception as a component whose environmental reliability envelope must be characterized with the same rigor applied to any legacy sensor, this contribution bridges thermofluid physics, optical modeling, machine-learning perception, and reliability engineering, supporting informed design decisions across the camera enclosure, the thermal mitigation subsystem, and the perception pipeline.</w:t>
      </w:r>
    </w:p>
    <w:p>
      <w:pPr>
        <w:pStyle w:val="Heading1"/>
      </w:pPr>
      <w:r>
        <w:t xml:space="preserve">Portal Submission Notes</w:t>
      </w:r>
    </w:p>
    <w:p>
      <w:pPr>
        <w:spacing w:after="160"/>
      </w:pPr>
      <w:r>
        <w:rPr>
          <w:i/>
          <w:iCs/>
        </w:rPr>
        <w:t xml:space="preserve">The xcdsystem.com portal collects each field separately. The mapping below covers what to paste where.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Portal field</w:t>
            </w:r>
          </w:p>
        </w:tc>
        <w:tc>
          <w:tcPr>
            <w:tcW w:type="dxa" w:w="5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What to 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Title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Physics-Informed Reliability of AV Camera Perception Under Thermal Degradation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Abstract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Paste the six paragraphs above (in order, with paragraph breaks preserved)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Authors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All four — Aditya, Lahari, Vijay, Yashitha — with valid email addresses. Order matters; first author listed is typically the corresponding author. CANNOT be changed after submission.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Presenting author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Whoever plans to be in St. Petersburg, FL in January 2027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Student status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Mark all four as full-time students for Student Paper Award eligibility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Sponsoring society membership</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Only mark if any author actually holds a current membership in a RAMS sponsoring society. Not required for acceptance.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Topic areas (select multiple)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Autonomous Systems · Artificial Intelligence and Machine Learning · Physical Reliability Models · Reliability Modeling · Security and Dependability Analysis</w:t>
            </w:r>
          </w:p>
        </w:tc>
      </w:tr>
    </w:tbl>
    <w:p>
      <w:pPr>
        <w:pStyle w:val="Heading1"/>
      </w:pPr>
      <w:r>
        <w:t xml:space="preserve">Pre-Submission Checklist</w:t>
      </w:r>
    </w:p>
    <w:p>
      <w:pPr>
        <w:pStyle w:val="ListParagraph"/>
        <w:numPr>
          <w:ilvl w:val="0"/>
          <w:numId w:val="2"/>
        </w:numPr>
        <w:spacing w:after="80"/>
      </w:pPr>
      <w:r>
        <w:t xml:space="preserve">Author list locked at exactly four. No one can be added after April 30.</w:t>
      </w:r>
    </w:p>
    <w:p>
      <w:pPr>
        <w:pStyle w:val="ListParagraph"/>
        <w:numPr>
          <w:ilvl w:val="0"/>
          <w:numId w:val="2"/>
        </w:numPr>
        <w:spacing w:after="80"/>
      </w:pPr>
      <w:r>
        <w:t xml:space="preserve">Author order agreed by all four authors before submission.</w:t>
      </w:r>
    </w:p>
    <w:p>
      <w:pPr>
        <w:pStyle w:val="ListParagraph"/>
        <w:numPr>
          <w:ilvl w:val="0"/>
          <w:numId w:val="2"/>
        </w:numPr>
        <w:spacing w:after="80"/>
      </w:pPr>
      <w:r>
        <w:t xml:space="preserve">Presenting author identified, and that person can plan for January 2027 attendance.</w:t>
      </w:r>
    </w:p>
    <w:p>
      <w:pPr>
        <w:pStyle w:val="ListParagraph"/>
        <w:numPr>
          <w:ilvl w:val="0"/>
          <w:numId w:val="2"/>
        </w:numPr>
        <w:spacing w:after="80"/>
      </w:pPr>
      <w:r>
        <w:t xml:space="preserve">All author email addresses verified working — RAMS sends correspondence only to the submitting author's email.</w:t>
      </w:r>
    </w:p>
    <w:p>
      <w:pPr>
        <w:pStyle w:val="ListParagraph"/>
        <w:numPr>
          <w:ilvl w:val="0"/>
          <w:numId w:val="2"/>
        </w:numPr>
        <w:spacing w:after="80"/>
      </w:pPr>
      <w:r>
        <w:t xml:space="preserve">Title contains no author names or institutional affiliations.</w:t>
      </w:r>
    </w:p>
    <w:p>
      <w:pPr>
        <w:pStyle w:val="ListParagraph"/>
        <w:numPr>
          <w:ilvl w:val="0"/>
          <w:numId w:val="2"/>
        </w:numPr>
        <w:spacing w:after="80"/>
      </w:pPr>
      <w:r>
        <w:t xml:space="preserve">Abstract contains no author names or institutional affiliations (re-read once after any final edits).</w:t>
      </w:r>
    </w:p>
    <w:p>
      <w:pPr>
        <w:pStyle w:val="ListParagraph"/>
        <w:numPr>
          <w:ilvl w:val="0"/>
          <w:numId w:val="2"/>
        </w:numPr>
        <w:spacing w:after="80"/>
      </w:pPr>
      <w:r>
        <w:t xml:space="preserve">Abstract contains no equations, figures, or tables (no τ(t), ΔT, RH-style symbols — use words).</w:t>
      </w:r>
    </w:p>
    <w:p>
      <w:pPr>
        <w:pStyle w:val="ListParagraph"/>
        <w:numPr>
          <w:ilvl w:val="0"/>
          <w:numId w:val="2"/>
        </w:numPr>
        <w:spacing w:after="80"/>
      </w:pPr>
      <w:r>
        <w:t xml:space="preserve">Word count is under 1000. Current draft is approximately 710.</w:t>
      </w:r>
    </w:p>
    <w:p>
      <w:pPr>
        <w:pStyle w:val="ListParagraph"/>
        <w:numPr>
          <w:ilvl w:val="0"/>
          <w:numId w:val="2"/>
        </w:numPr>
        <w:spacing w:after="80"/>
      </w:pPr>
      <w:r>
        <w:t xml:space="preserve">Title length is at or under 80 characters. Current draft is 78.</w:t>
      </w:r>
    </w:p>
    <w:p>
      <w:pPr>
        <w:pStyle w:val="ListParagraph"/>
        <w:numPr>
          <w:ilvl w:val="0"/>
          <w:numId w:val="2"/>
        </w:numPr>
        <w:spacing w:after="80"/>
      </w:pPr>
      <w:r>
        <w:t xml:space="preserve">Student Paper Award box ticked.</w:t>
      </w:r>
    </w:p>
    <w:p>
      <w:pPr>
        <w:pStyle w:val="ListParagraph"/>
        <w:numPr>
          <w:ilvl w:val="0"/>
          <w:numId w:val="2"/>
        </w:numPr>
        <w:spacing w:after="80"/>
      </w:pPr>
      <w:r>
        <w:t xml:space="preserve">Confirmation email received after submission. If not, contact programs@rams.org.</w:t>
      </w:r>
    </w:p>
    <w:p>
      <w:pPr>
        <w:pStyle w:val="Heading1"/>
      </w:pPr>
      <w:r>
        <w:t xml:space="preserve">Notes for the Team</w:t>
      </w:r>
    </w:p>
    <w:p>
      <w:pPr>
        <w:pStyle w:val="Heading2"/>
      </w:pPr>
      <w:r>
        <w:t xml:space="preserve">Why this abstract is shaped the way it is</w:t>
      </w:r>
    </w:p>
    <w:p>
      <w:pPr>
        <w:spacing w:after="160"/>
      </w:pPr>
      <w:r>
        <w:t xml:space="preserve">The abstract commits to transient condensation as the primary phenomenon while keeping the framework language general enough to survive a pivot to quasi-static frost (Idea 1) if the May physics gate fails. The pivot insurance is carried in three specific phrases: the opening sentence's mention of "condensation, frost, or ice" as the problem class; the second contribution's framing of quasi-static degradation as a limiting case of the time-varying framework; and the methodological grounding paragraph's reference to nucleation theory as a "unified mathematical apparatus across condensation and crystalline-deposition regimes." Together these mean a pivot would not contradict the abstract.</w:t>
      </w:r>
    </w:p>
    <w:p>
      <w:pPr>
        <w:pStyle w:val="Heading2"/>
      </w:pPr>
      <w:r>
        <w:t xml:space="preserve">What we did NOT commit to</w:t>
      </w:r>
    </w:p>
    <w:p>
      <w:pPr>
        <w:pStyle w:val="ListParagraph"/>
        <w:numPr>
          <w:ilvl w:val="0"/>
          <w:numId w:val="2"/>
        </w:numPr>
        <w:spacing w:after="80"/>
      </w:pPr>
      <w:r>
        <w:t xml:space="preserve">Specific perception models (no YOLOv5, HybridNets, YOLOPX named) — the abstract says "object-detection and lane-tracking pipelines representative of contemporary deployed AV perception stacks" and "multiple perception architectures." This preserves freedom to choose stacks during the May–July work.</w:t>
      </w:r>
    </w:p>
    <w:p>
      <w:pPr>
        <w:pStyle w:val="ListParagraph"/>
        <w:numPr>
          <w:ilvl w:val="0"/>
          <w:numId w:val="2"/>
        </w:numPr>
        <w:spacing w:after="80"/>
      </w:pPr>
      <w:r>
        <w:t xml:space="preserve">Specific quantitative results (no blackout-window numbers, no heater-power numbers). The abstract describes what the framework produces, not what it found.</w:t>
      </w:r>
    </w:p>
    <w:p>
      <w:pPr>
        <w:pStyle w:val="ListParagraph"/>
        <w:numPr>
          <w:ilvl w:val="0"/>
          <w:numId w:val="2"/>
        </w:numPr>
        <w:spacing w:after="80"/>
      </w:pPr>
      <w:r>
        <w:t xml:space="preserve">Bench validation (no thermocouples, no chambers, no in-house measurements). Calibration is described as drawing on the published experimental record.</w:t>
      </w:r>
    </w:p>
    <w:p>
      <w:pPr>
        <w:pStyle w:val="Heading2"/>
      </w:pPr>
      <w:r>
        <w:t xml:space="preserve">Theme paragraph</w:t>
      </w:r>
    </w:p>
    <w:p>
      <w:pPr>
        <w:spacing w:after="160"/>
      </w:pPr>
      <w:r>
        <w:t xml:space="preserve">The closing paragraph ties the work to the RAMS 2027 theme ("Reliability, Maintainability and Safety in a Changing World: From Legacy Systems to AI-Enabled Futures"). RAMS does not require this as a separate field, but theme relevance is one of four explicit selection criteria the program committee uses for abstract review, so making the connection explicit is worth the ~70 words it costs.</w:t>
      </w:r>
    </w:p>
    <w:p>
      <w:pPr>
        <w:pStyle w:val="Heading2"/>
      </w:pPr>
      <w:r>
        <w:t xml:space="preserve">After submission</w:t>
      </w:r>
    </w:p>
    <w:p>
      <w:pPr>
        <w:pStyle w:val="ListParagraph"/>
        <w:numPr>
          <w:ilvl w:val="0"/>
          <w:numId w:val="2"/>
        </w:numPr>
        <w:spacing w:after="80"/>
      </w:pPr>
      <w:r>
        <w:t xml:space="preserve">Confirmation email arrives shortly after submission. Save it.</w:t>
      </w:r>
    </w:p>
    <w:p>
      <w:pPr>
        <w:pStyle w:val="ListParagraph"/>
        <w:numPr>
          <w:ilvl w:val="0"/>
          <w:numId w:val="2"/>
        </w:numPr>
        <w:spacing w:after="80"/>
      </w:pPr>
      <w:r>
        <w:t xml:space="preserve">Acceptance decisions arrive in June 2026.</w:t>
      </w:r>
    </w:p>
    <w:p>
      <w:pPr>
        <w:pStyle w:val="ListParagraph"/>
        <w:numPr>
          <w:ilvl w:val="0"/>
          <w:numId w:val="2"/>
        </w:numPr>
        <w:spacing w:after="80"/>
      </w:pPr>
      <w:r>
        <w:t xml:space="preserve">If accepted, the full draft paper is due end of July 2026 (blind review — no author identification on the paper itself).</w:t>
      </w:r>
    </w:p>
    <w:p>
      <w:pPr>
        <w:pStyle w:val="ListParagraph"/>
        <w:numPr>
          <w:ilvl w:val="0"/>
          <w:numId w:val="2"/>
        </w:numPr>
        <w:spacing w:after="80"/>
      </w:pPr>
      <w:r>
        <w:t xml:space="preserve">Feedback on drafts arrives end of August 2026; final paper due end of September 2026.</w:t>
      </w:r>
    </w:p>
    <w:p>
      <w:pPr>
        <w:pStyle w:val="ListParagraph"/>
        <w:numPr>
          <w:ilvl w:val="0"/>
          <w:numId w:val="2"/>
        </w:numPr>
        <w:spacing w:after="80"/>
      </w:pPr>
      <w:r>
        <w:t xml:space="preserve">At least one author must register for and attend the symposium in St. Petersburg, FL, January 25–28, 2027.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 2027 Abstract — Submission Copy</dc:title>
  <dc:creator>Aditya</dc:creator>
  <cp:lastModifiedBy>Un-named</cp:lastModifiedBy>
  <cp:revision>1</cp:revision>
  <dcterms:created xsi:type="dcterms:W3CDTF">2026-04-30T14:53:40.344Z</dcterms:created>
  <dcterms:modified xsi:type="dcterms:W3CDTF">2026-04-30T14:53:40.345Z</dcterms:modified>
</cp:coreProperties>
</file>

<file path=docProps/custom.xml><?xml version="1.0" encoding="utf-8"?>
<Properties xmlns="http://schemas.openxmlformats.org/officeDocument/2006/custom-properties" xmlns:vt="http://schemas.openxmlformats.org/officeDocument/2006/docPropsVTypes"/>
</file>