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814" w:rsidRDefault="00A24814" w:rsidP="00A24814">
      <w:pPr>
        <w:jc w:val="center"/>
        <w:rPr>
          <w:rStyle w:val="fontstyle01"/>
        </w:rPr>
      </w:pPr>
      <w:r>
        <w:rPr>
          <w:rStyle w:val="fontstyle01"/>
        </w:rPr>
        <w:t>REPUBLIQUE DU SENEGAL</w:t>
      </w:r>
      <w:r>
        <w:rPr>
          <w:rFonts w:ascii="TimesNewRomanPS-BoldMT" w:hAnsi="TimesNewRomanPS-BoldMT"/>
          <w:b/>
          <w:bCs/>
          <w:color w:val="000000"/>
          <w:sz w:val="16"/>
          <w:szCs w:val="16"/>
        </w:rPr>
        <w:br/>
      </w:r>
      <w:r>
        <w:rPr>
          <w:rStyle w:val="fontstyle01"/>
          <w:sz w:val="12"/>
          <w:szCs w:val="12"/>
        </w:rPr>
        <w:t>________</w:t>
      </w:r>
      <w:r>
        <w:rPr>
          <w:rFonts w:ascii="TimesNewRomanPS-BoldMT" w:hAnsi="TimesNewRomanPS-BoldMT"/>
          <w:b/>
          <w:bCs/>
          <w:color w:val="000000"/>
          <w:sz w:val="12"/>
          <w:szCs w:val="12"/>
        </w:rPr>
        <w:br/>
      </w:r>
      <w:r>
        <w:rPr>
          <w:rStyle w:val="fontstyle21"/>
        </w:rPr>
        <w:t>Un Peuple – Un But – Une Foi</w:t>
      </w:r>
      <w:r>
        <w:rPr>
          <w:rFonts w:ascii="TimesNewRomanPSMT" w:hAnsi="TimesNewRomanPSMT"/>
          <w:color w:val="000000"/>
          <w:sz w:val="16"/>
          <w:szCs w:val="16"/>
        </w:rPr>
        <w:br/>
      </w:r>
      <w:r>
        <w:rPr>
          <w:rStyle w:val="fontstyle01"/>
          <w:sz w:val="18"/>
          <w:szCs w:val="18"/>
        </w:rPr>
        <w:t>MINISTERE DE L</w:t>
      </w:r>
      <w:r>
        <w:rPr>
          <w:rStyle w:val="fontstyle01"/>
        </w:rPr>
        <w:t>’</w:t>
      </w:r>
      <w:r>
        <w:rPr>
          <w:rStyle w:val="fontstyle01"/>
          <w:sz w:val="18"/>
          <w:szCs w:val="18"/>
        </w:rPr>
        <w:t>ENSEIGNEMENT SUPERIEUR ET DE LA RECHERCHE</w:t>
      </w:r>
      <w:r>
        <w:rPr>
          <w:rFonts w:ascii="TimesNewRomanPS-BoldMT" w:hAnsi="TimesNewRomanPS-BoldMT"/>
          <w:b/>
          <w:bCs/>
          <w:color w:val="000000"/>
          <w:sz w:val="18"/>
          <w:szCs w:val="18"/>
        </w:rPr>
        <w:br/>
      </w:r>
      <w:r>
        <w:rPr>
          <w:rStyle w:val="fontstyle01"/>
          <w:sz w:val="24"/>
          <w:szCs w:val="24"/>
        </w:rPr>
        <w:t>--------------------------</w:t>
      </w:r>
      <w:r>
        <w:rPr>
          <w:rFonts w:ascii="TimesNewRomanPS-BoldMT" w:hAnsi="TimesNewRomanPS-BoldMT"/>
          <w:b/>
          <w:bCs/>
          <w:color w:val="000000"/>
        </w:rPr>
        <w:br/>
      </w:r>
      <w:r>
        <w:rPr>
          <w:rStyle w:val="fontstyle01"/>
        </w:rPr>
        <w:t>UNIVERSITE DE THIES</w:t>
      </w:r>
    </w:p>
    <w:p w:rsidR="00862AAB" w:rsidRDefault="00A24814" w:rsidP="00A24814">
      <w:pPr>
        <w:jc w:val="center"/>
        <w:rPr>
          <w:rStyle w:val="fontstyle01"/>
        </w:rPr>
      </w:pPr>
      <w:r>
        <w:rPr>
          <w:rStyle w:val="fontstyle01"/>
        </w:rPr>
        <w:t xml:space="preserve"> MASTER EN SCIENCE DE DONNEES ET APPLICATION</w:t>
      </w:r>
    </w:p>
    <w:p w:rsidR="00A24814" w:rsidRDefault="00A24814" w:rsidP="00A24814">
      <w:pPr>
        <w:jc w:val="center"/>
        <w:rPr>
          <w:rStyle w:val="fontstyle01"/>
        </w:rPr>
      </w:pPr>
    </w:p>
    <w:p w:rsidR="00A24814" w:rsidRDefault="00A24814" w:rsidP="00A24814">
      <w:pPr>
        <w:jc w:val="center"/>
        <w:rPr>
          <w:rStyle w:val="fontstyle01"/>
        </w:rPr>
      </w:pPr>
    </w:p>
    <w:p w:rsidR="00A24814" w:rsidRDefault="00A24814" w:rsidP="00A24814">
      <w:pPr>
        <w:jc w:val="center"/>
        <w:rPr>
          <w:rStyle w:val="fontstyle01"/>
        </w:rPr>
      </w:pPr>
    </w:p>
    <w:p w:rsidR="00A24814" w:rsidRDefault="00A24814" w:rsidP="00A24814">
      <w:pPr>
        <w:jc w:val="center"/>
      </w:pPr>
      <w:r>
        <w:rPr>
          <w:noProof/>
          <w:lang w:eastAsia="fr-FR"/>
        </w:rPr>
        <w:pict>
          <v:rect id="_x0000_s1026" style="position:absolute;left:0;text-align:left;margin-left:7.15pt;margin-top:55.15pt;width:432.75pt;height:169.5pt;z-index:251658240">
            <v:textbox>
              <w:txbxContent>
                <w:p w:rsidR="009C5BD3" w:rsidRDefault="009C5BD3" w:rsidP="00A24814">
                  <w:pPr>
                    <w:jc w:val="center"/>
                  </w:pPr>
                </w:p>
                <w:p w:rsidR="009C5BD3" w:rsidRPr="00A24814" w:rsidRDefault="009C5BD3" w:rsidP="00A24814">
                  <w:pPr>
                    <w:jc w:val="center"/>
                    <w:rPr>
                      <w:rFonts w:ascii="Times New Roman" w:hAnsi="Times New Roman" w:cs="Times New Roman"/>
                    </w:rPr>
                  </w:pPr>
                </w:p>
                <w:p w:rsidR="009C5BD3" w:rsidRPr="00A24814" w:rsidRDefault="009C5BD3" w:rsidP="00A24814">
                  <w:pPr>
                    <w:jc w:val="center"/>
                    <w:rPr>
                      <w:rFonts w:ascii="Times New Roman" w:hAnsi="Times New Roman" w:cs="Times New Roman"/>
                      <w:b/>
                    </w:rPr>
                  </w:pPr>
                  <w:r w:rsidRPr="00A24814">
                    <w:rPr>
                      <w:rFonts w:ascii="Times New Roman" w:hAnsi="Times New Roman" w:cs="Times New Roman"/>
                      <w:b/>
                    </w:rPr>
                    <w:t>P</w:t>
                  </w:r>
                  <w:r>
                    <w:rPr>
                      <w:rFonts w:ascii="Times New Roman" w:hAnsi="Times New Roman" w:cs="Times New Roman"/>
                      <w:b/>
                    </w:rPr>
                    <w:t xml:space="preserve">ROJET VISUALISATION </w:t>
                  </w:r>
                  <w:r w:rsidRPr="00A24814">
                    <w:rPr>
                      <w:rFonts w:ascii="Times New Roman" w:hAnsi="Times New Roman" w:cs="Times New Roman"/>
                      <w:b/>
                    </w:rPr>
                    <w:t>DE DONNEES:</w:t>
                  </w:r>
                </w:p>
                <w:p w:rsidR="009C5BD3" w:rsidRPr="00A24814" w:rsidRDefault="009C5BD3" w:rsidP="00A24814">
                  <w:pPr>
                    <w:jc w:val="center"/>
                    <w:rPr>
                      <w:rFonts w:ascii="Times New Roman" w:hAnsi="Times New Roman" w:cs="Times New Roman"/>
                      <w:b/>
                    </w:rPr>
                  </w:pPr>
                  <w:r w:rsidRPr="00A24814">
                    <w:rPr>
                      <w:rFonts w:ascii="Times New Roman" w:hAnsi="Times New Roman" w:cs="Times New Roman"/>
                      <w:b/>
                    </w:rPr>
                    <w:t>L'ALOUDIISSEMENT DE LA DETTE PUBLIQUE ET SES EFFETS SUR L'ECONOMIE DANS L'ESPACE CEDEAO</w:t>
                  </w:r>
                </w:p>
              </w:txbxContent>
            </v:textbox>
          </v:rect>
        </w:pict>
      </w:r>
    </w:p>
    <w:p w:rsidR="00A24814" w:rsidRPr="00A24814" w:rsidRDefault="00A24814" w:rsidP="00A24814"/>
    <w:p w:rsidR="00A24814" w:rsidRPr="00A24814" w:rsidRDefault="00A24814" w:rsidP="00A24814"/>
    <w:p w:rsidR="00A24814" w:rsidRPr="00A24814" w:rsidRDefault="00A24814" w:rsidP="00A24814"/>
    <w:p w:rsidR="00A24814" w:rsidRPr="00A24814" w:rsidRDefault="00A24814" w:rsidP="00A24814"/>
    <w:p w:rsidR="00A24814" w:rsidRPr="00A24814" w:rsidRDefault="00A24814" w:rsidP="00A24814"/>
    <w:p w:rsidR="00A24814" w:rsidRPr="00A24814" w:rsidRDefault="00A24814" w:rsidP="00A24814"/>
    <w:p w:rsidR="00A24814" w:rsidRPr="00A24814" w:rsidRDefault="00A24814" w:rsidP="00A24814"/>
    <w:p w:rsidR="00A24814" w:rsidRPr="00A24814" w:rsidRDefault="00A24814" w:rsidP="00A24814"/>
    <w:p w:rsidR="00A24814" w:rsidRPr="00A24814" w:rsidRDefault="00A24814" w:rsidP="00A24814"/>
    <w:p w:rsidR="00A24814" w:rsidRPr="00A24814" w:rsidRDefault="00A24814" w:rsidP="00A24814"/>
    <w:p w:rsidR="00A24814" w:rsidRPr="00A24814" w:rsidRDefault="00A24814" w:rsidP="00A24814"/>
    <w:p w:rsidR="00A24814" w:rsidRPr="00A24814" w:rsidRDefault="00A24814" w:rsidP="00A24814">
      <w:pPr>
        <w:rPr>
          <w:rFonts w:ascii="Times New Roman" w:hAnsi="Times New Roman" w:cs="Times New Roman"/>
        </w:rPr>
      </w:pPr>
    </w:p>
    <w:p w:rsidR="00A24814" w:rsidRPr="00A24814" w:rsidRDefault="00A24814" w:rsidP="00A24814">
      <w:pPr>
        <w:rPr>
          <w:rFonts w:ascii="Times New Roman" w:hAnsi="Times New Roman" w:cs="Times New Roman"/>
          <w:u w:val="single"/>
        </w:rPr>
      </w:pPr>
      <w:r w:rsidRPr="00A24814">
        <w:rPr>
          <w:rFonts w:ascii="Times New Roman" w:hAnsi="Times New Roman" w:cs="Times New Roman"/>
          <w:u w:val="single"/>
        </w:rPr>
        <w:t>AUTEURS:</w:t>
      </w:r>
    </w:p>
    <w:p w:rsidR="00A24814" w:rsidRPr="00A24814" w:rsidRDefault="00A24814" w:rsidP="00A24814">
      <w:pPr>
        <w:rPr>
          <w:rFonts w:ascii="Times New Roman" w:hAnsi="Times New Roman" w:cs="Times New Roman"/>
        </w:rPr>
      </w:pPr>
      <w:r w:rsidRPr="00A24814">
        <w:rPr>
          <w:rFonts w:ascii="Times New Roman" w:hAnsi="Times New Roman" w:cs="Times New Roman"/>
        </w:rPr>
        <w:t>KHADIM BAMBA CISSE</w:t>
      </w:r>
    </w:p>
    <w:p w:rsidR="00A24814" w:rsidRPr="00A24814" w:rsidRDefault="00A24814" w:rsidP="00A24814">
      <w:pPr>
        <w:rPr>
          <w:rFonts w:ascii="Times New Roman" w:hAnsi="Times New Roman" w:cs="Times New Roman"/>
        </w:rPr>
      </w:pPr>
      <w:r w:rsidRPr="00A24814">
        <w:rPr>
          <w:rFonts w:ascii="Times New Roman" w:hAnsi="Times New Roman" w:cs="Times New Roman"/>
        </w:rPr>
        <w:t>SEYNI KAIRE</w:t>
      </w:r>
    </w:p>
    <w:p w:rsidR="00A24814" w:rsidRDefault="00A24814" w:rsidP="00A24814">
      <w:pPr>
        <w:rPr>
          <w:rFonts w:ascii="Times New Roman" w:hAnsi="Times New Roman" w:cs="Times New Roman"/>
        </w:rPr>
      </w:pPr>
      <w:r w:rsidRPr="00A24814">
        <w:rPr>
          <w:rFonts w:ascii="Times New Roman" w:hAnsi="Times New Roman" w:cs="Times New Roman"/>
        </w:rPr>
        <w:t>ABDOULAHI MBENGUE</w:t>
      </w:r>
    </w:p>
    <w:p w:rsidR="00A24814" w:rsidRDefault="00A24814" w:rsidP="00A24814">
      <w:pPr>
        <w:rPr>
          <w:rFonts w:ascii="Times New Roman" w:hAnsi="Times New Roman" w:cs="Times New Roman"/>
        </w:rPr>
      </w:pPr>
    </w:p>
    <w:p w:rsidR="00A24814" w:rsidRDefault="00A24814" w:rsidP="00A24814">
      <w:pPr>
        <w:rPr>
          <w:rFonts w:ascii="Times New Roman" w:hAnsi="Times New Roman" w:cs="Times New Roman"/>
        </w:rPr>
      </w:pPr>
    </w:p>
    <w:p w:rsidR="00A24814" w:rsidRDefault="00A24814" w:rsidP="00A24814">
      <w:pPr>
        <w:rPr>
          <w:rFonts w:ascii="Times New Roman" w:hAnsi="Times New Roman" w:cs="Times New Roman"/>
        </w:rPr>
      </w:pPr>
    </w:p>
    <w:p w:rsidR="00A24814" w:rsidRDefault="00A24814" w:rsidP="00A24814">
      <w:pPr>
        <w:rPr>
          <w:rFonts w:ascii="Times New Roman" w:hAnsi="Times New Roman" w:cs="Times New Roman"/>
        </w:rPr>
      </w:pPr>
    </w:p>
    <w:p w:rsidR="00A24814" w:rsidRDefault="00A24814" w:rsidP="00A24814">
      <w:pPr>
        <w:rPr>
          <w:rFonts w:ascii="Times New Roman" w:hAnsi="Times New Roman" w:cs="Times New Roman"/>
        </w:rPr>
      </w:pPr>
    </w:p>
    <w:p w:rsidR="00A24814" w:rsidRPr="001F7931" w:rsidRDefault="00D03B92" w:rsidP="00A24814">
      <w:pPr>
        <w:rPr>
          <w:rFonts w:ascii="Times New Roman" w:hAnsi="Times New Roman" w:cs="Times New Roman"/>
          <w:sz w:val="24"/>
          <w:szCs w:val="24"/>
          <w:u w:val="single"/>
        </w:rPr>
      </w:pPr>
      <w:r w:rsidRPr="001F7931">
        <w:rPr>
          <w:rFonts w:ascii="Times New Roman" w:hAnsi="Times New Roman" w:cs="Times New Roman"/>
          <w:sz w:val="24"/>
          <w:szCs w:val="24"/>
          <w:u w:val="single"/>
        </w:rPr>
        <w:lastRenderedPageBreak/>
        <w:t>RESUME:</w:t>
      </w:r>
    </w:p>
    <w:p w:rsidR="00BE3B12" w:rsidRPr="001F7931" w:rsidRDefault="00BE3B12" w:rsidP="00BE3B12">
      <w:pPr>
        <w:rPr>
          <w:rFonts w:ascii="Times New Roman" w:hAnsi="Times New Roman" w:cs="Times New Roman"/>
          <w:sz w:val="24"/>
          <w:szCs w:val="24"/>
        </w:rPr>
      </w:pPr>
      <w:r w:rsidRPr="001F7931">
        <w:rPr>
          <w:rFonts w:ascii="Times New Roman" w:hAnsi="Times New Roman" w:cs="Times New Roman"/>
          <w:sz w:val="24"/>
          <w:szCs w:val="24"/>
        </w:rPr>
        <w:t>La dette publique est, dans le domaine des finances publiques, l'ensemble des engagements financiers pris sous forme d'emprunts par un Etat, ses collectivités publiques et ses organismes qui en dépendent directement(certaines entreprises publiques, les organismes de sécurité sociale, etc.)</w:t>
      </w:r>
      <w:r w:rsidR="00046ABA" w:rsidRPr="001F7931">
        <w:rPr>
          <w:rFonts w:ascii="Times New Roman" w:hAnsi="Times New Roman" w:cs="Times New Roman"/>
          <w:sz w:val="24"/>
          <w:szCs w:val="24"/>
        </w:rPr>
        <w:t>.</w:t>
      </w:r>
    </w:p>
    <w:p w:rsidR="00BE3B12" w:rsidRPr="001F7931" w:rsidRDefault="00BE3B12" w:rsidP="00BE3B12">
      <w:pPr>
        <w:rPr>
          <w:rFonts w:ascii="Times New Roman" w:hAnsi="Times New Roman" w:cs="Times New Roman"/>
          <w:sz w:val="24"/>
          <w:szCs w:val="24"/>
        </w:rPr>
      </w:pPr>
      <w:r w:rsidRPr="001F7931">
        <w:rPr>
          <w:rFonts w:ascii="Times New Roman" w:hAnsi="Times New Roman" w:cs="Times New Roman"/>
          <w:sz w:val="24"/>
          <w:szCs w:val="24"/>
        </w:rPr>
        <w:t>Dans l'espace CEDEAO, le poids de la dette a aujourd'hui quasiment doublé par rapport à 2010 et semble peu enc</w:t>
      </w:r>
      <w:r w:rsidR="00B8163B" w:rsidRPr="001F7931">
        <w:rPr>
          <w:rFonts w:ascii="Times New Roman" w:hAnsi="Times New Roman" w:cs="Times New Roman"/>
          <w:sz w:val="24"/>
          <w:szCs w:val="24"/>
        </w:rPr>
        <w:t>lin à diminuer;</w:t>
      </w:r>
      <w:r w:rsidRPr="001F7931">
        <w:rPr>
          <w:rFonts w:ascii="Times New Roman" w:hAnsi="Times New Roman" w:cs="Times New Roman"/>
          <w:sz w:val="24"/>
          <w:szCs w:val="24"/>
        </w:rPr>
        <w:t xml:space="preserve"> ce qui soulève des préoccupations quant à sa soutenabilité. Cette tendance s'accompagne de couts économiques et sociaux potentiellement importants.</w:t>
      </w:r>
    </w:p>
    <w:p w:rsidR="00BE3B12" w:rsidRPr="001F7931" w:rsidRDefault="00BE3B12" w:rsidP="00BE3B12">
      <w:pPr>
        <w:rPr>
          <w:rFonts w:ascii="Times New Roman" w:hAnsi="Times New Roman" w:cs="Times New Roman"/>
          <w:sz w:val="24"/>
          <w:szCs w:val="24"/>
          <w:u w:val="single"/>
          <w:lang w:val="en-US"/>
        </w:rPr>
      </w:pPr>
      <w:r w:rsidRPr="001F7931">
        <w:rPr>
          <w:rFonts w:ascii="Times New Roman" w:hAnsi="Times New Roman" w:cs="Times New Roman"/>
          <w:sz w:val="24"/>
          <w:szCs w:val="24"/>
          <w:u w:val="single"/>
          <w:lang w:val="en-US"/>
        </w:rPr>
        <w:t>ABSTRACT:</w:t>
      </w:r>
    </w:p>
    <w:p w:rsidR="00BE3B12" w:rsidRPr="001F7931" w:rsidRDefault="00046ABA" w:rsidP="00BE3B12">
      <w:pPr>
        <w:rPr>
          <w:rFonts w:ascii="Times New Roman" w:hAnsi="Times New Roman" w:cs="Times New Roman"/>
          <w:sz w:val="24"/>
          <w:szCs w:val="24"/>
          <w:lang w:val="en-US"/>
        </w:rPr>
      </w:pPr>
      <w:r w:rsidRPr="001F7931">
        <w:rPr>
          <w:rFonts w:ascii="Times New Roman" w:hAnsi="Times New Roman" w:cs="Times New Roman"/>
          <w:sz w:val="24"/>
          <w:szCs w:val="24"/>
          <w:lang w:val="en-US"/>
        </w:rPr>
        <w:t>Public debt is, in the area of public finance</w:t>
      </w:r>
      <w:r w:rsidR="009468E8" w:rsidRPr="001F7931">
        <w:rPr>
          <w:rFonts w:ascii="Times New Roman" w:hAnsi="Times New Roman" w:cs="Times New Roman"/>
          <w:sz w:val="24"/>
          <w:szCs w:val="24"/>
          <w:lang w:val="en-US"/>
        </w:rPr>
        <w:t>,</w:t>
      </w:r>
      <w:r w:rsidRPr="001F7931">
        <w:rPr>
          <w:rFonts w:ascii="Times New Roman" w:hAnsi="Times New Roman" w:cs="Times New Roman"/>
          <w:sz w:val="24"/>
          <w:szCs w:val="24"/>
          <w:lang w:val="en-US"/>
        </w:rPr>
        <w:t xml:space="preserve"> all of the financial commitments made in the form of loan by a State,</w:t>
      </w:r>
      <w:r w:rsidR="009468E8" w:rsidRPr="001F7931">
        <w:rPr>
          <w:rFonts w:ascii="Times New Roman" w:hAnsi="Times New Roman" w:cs="Times New Roman"/>
          <w:sz w:val="24"/>
          <w:szCs w:val="24"/>
          <w:lang w:val="en-US"/>
        </w:rPr>
        <w:t xml:space="preserve"> </w:t>
      </w:r>
      <w:r w:rsidRPr="001F7931">
        <w:rPr>
          <w:rFonts w:ascii="Times New Roman" w:hAnsi="Times New Roman" w:cs="Times New Roman"/>
          <w:sz w:val="24"/>
          <w:szCs w:val="24"/>
          <w:lang w:val="en-US"/>
        </w:rPr>
        <w:t>its public authorities and its bodies which depend directly on it ( certain public undertakings,</w:t>
      </w:r>
      <w:r w:rsidR="009468E8" w:rsidRPr="001F7931">
        <w:rPr>
          <w:rFonts w:ascii="Times New Roman" w:hAnsi="Times New Roman" w:cs="Times New Roman"/>
          <w:sz w:val="24"/>
          <w:szCs w:val="24"/>
          <w:lang w:val="en-US"/>
        </w:rPr>
        <w:t xml:space="preserve"> </w:t>
      </w:r>
      <w:r w:rsidRPr="001F7931">
        <w:rPr>
          <w:rFonts w:ascii="Times New Roman" w:hAnsi="Times New Roman" w:cs="Times New Roman"/>
          <w:sz w:val="24"/>
          <w:szCs w:val="24"/>
          <w:lang w:val="en-US"/>
        </w:rPr>
        <w:t>social security bodies, etc).</w:t>
      </w:r>
    </w:p>
    <w:p w:rsidR="00046ABA" w:rsidRPr="001F7931" w:rsidRDefault="00046ABA" w:rsidP="00BE3B12">
      <w:pPr>
        <w:rPr>
          <w:rFonts w:ascii="Times New Roman" w:hAnsi="Times New Roman" w:cs="Times New Roman"/>
          <w:sz w:val="24"/>
          <w:szCs w:val="24"/>
          <w:lang w:val="en-US"/>
        </w:rPr>
      </w:pPr>
      <w:r w:rsidRPr="001F7931">
        <w:rPr>
          <w:rFonts w:ascii="Times New Roman" w:hAnsi="Times New Roman" w:cs="Times New Roman"/>
          <w:sz w:val="24"/>
          <w:szCs w:val="24"/>
          <w:lang w:val="en-US"/>
        </w:rPr>
        <w:t>In the ECOWAS region, the debt burden has today almost doubled compared to 2010 and seems reluctant to decrease</w:t>
      </w:r>
      <w:r w:rsidR="00B8163B" w:rsidRPr="001F7931">
        <w:rPr>
          <w:rFonts w:ascii="Times New Roman" w:hAnsi="Times New Roman" w:cs="Times New Roman"/>
          <w:sz w:val="24"/>
          <w:szCs w:val="24"/>
          <w:lang w:val="en-US"/>
        </w:rPr>
        <w:t>; which raises conc</w:t>
      </w:r>
      <w:r w:rsidR="009468E8" w:rsidRPr="001F7931">
        <w:rPr>
          <w:rFonts w:ascii="Times New Roman" w:hAnsi="Times New Roman" w:cs="Times New Roman"/>
          <w:sz w:val="24"/>
          <w:szCs w:val="24"/>
          <w:lang w:val="en-US"/>
        </w:rPr>
        <w:t>erns about its sustainability. T</w:t>
      </w:r>
      <w:r w:rsidR="00B8163B" w:rsidRPr="001F7931">
        <w:rPr>
          <w:rFonts w:ascii="Times New Roman" w:hAnsi="Times New Roman" w:cs="Times New Roman"/>
          <w:sz w:val="24"/>
          <w:szCs w:val="24"/>
          <w:lang w:val="en-US"/>
        </w:rPr>
        <w:t>his trend is accompanied by potentially significant economic and social costs.</w:t>
      </w: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Default="009C5BD3" w:rsidP="00BE3B12">
      <w:pPr>
        <w:rPr>
          <w:rFonts w:ascii="Times New Roman" w:hAnsi="Times New Roman" w:cs="Times New Roman"/>
          <w:lang w:val="en-US"/>
        </w:rPr>
      </w:pPr>
    </w:p>
    <w:p w:rsidR="009C5BD3" w:rsidRPr="001F7931" w:rsidRDefault="009C5BD3" w:rsidP="00BE3B12">
      <w:pPr>
        <w:rPr>
          <w:rFonts w:ascii="Times New Roman" w:hAnsi="Times New Roman" w:cs="Times New Roman"/>
          <w:sz w:val="24"/>
          <w:szCs w:val="24"/>
          <w:u w:val="single"/>
          <w:lang w:val="en-US"/>
        </w:rPr>
      </w:pPr>
      <w:r w:rsidRPr="001F7931">
        <w:rPr>
          <w:rFonts w:ascii="Times New Roman" w:hAnsi="Times New Roman" w:cs="Times New Roman"/>
          <w:sz w:val="24"/>
          <w:szCs w:val="24"/>
          <w:u w:val="single"/>
          <w:lang w:val="en-US"/>
        </w:rPr>
        <w:t>INTRODUCTION</w:t>
      </w:r>
    </w:p>
    <w:p w:rsidR="001F7931" w:rsidRDefault="001F7931" w:rsidP="00BE3B12">
      <w:pPr>
        <w:rPr>
          <w:rFonts w:ascii="Times New Roman" w:hAnsi="Times New Roman" w:cs="Times New Roman"/>
          <w:color w:val="000000"/>
          <w:sz w:val="24"/>
          <w:szCs w:val="24"/>
        </w:rPr>
      </w:pPr>
      <w:r w:rsidRPr="001F7931">
        <w:rPr>
          <w:rFonts w:ascii="Times New Roman" w:hAnsi="Times New Roman" w:cs="Times New Roman"/>
          <w:b/>
          <w:bCs/>
          <w:i/>
          <w:iCs/>
          <w:color w:val="000000"/>
          <w:sz w:val="24"/>
          <w:szCs w:val="24"/>
        </w:rPr>
        <w:t xml:space="preserve">Dans un contexte économique international </w:t>
      </w:r>
      <w:r w:rsidRPr="001F7931">
        <w:rPr>
          <w:rFonts w:ascii="Times New Roman" w:hAnsi="Times New Roman" w:cs="Times New Roman"/>
          <w:color w:val="000000"/>
          <w:sz w:val="24"/>
          <w:szCs w:val="24"/>
        </w:rPr>
        <w:t>marqué par l’intensification de la crise dans la zone euro, la croissance économique mondiale s’est ralentie ressortant 3,2% en 2012 contre 4,0% en 2011. L’activité économique mondiale s’est déroulée dans un contexte marqué par une baisse des tensions inflationnistes et l’accentuation des difficultés au niveau des finances publiques. L’année 2012 a été également caractérisée par la détérioration des comptes courants, particulièrement en Afrique subsaharienne, en liaison avec la baisse des prix des principales matières premières.</w:t>
      </w:r>
    </w:p>
    <w:p w:rsidR="001F7931" w:rsidRDefault="001F7931" w:rsidP="00BE3B1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 ce constat amer, vient s'ajouter </w:t>
      </w:r>
      <w:r w:rsidRPr="00A81268">
        <w:rPr>
          <w:rFonts w:ascii="Times New Roman" w:hAnsi="Times New Roman" w:cs="Times New Roman"/>
          <w:b/>
          <w:color w:val="000000"/>
          <w:sz w:val="24"/>
          <w:szCs w:val="24"/>
        </w:rPr>
        <w:t>une dette publique</w:t>
      </w:r>
      <w:r>
        <w:rPr>
          <w:rFonts w:ascii="Times New Roman" w:hAnsi="Times New Roman" w:cs="Times New Roman"/>
          <w:color w:val="000000"/>
          <w:sz w:val="24"/>
          <w:szCs w:val="24"/>
        </w:rPr>
        <w:t xml:space="preserve"> qui se gonfle d'année en année sans</w:t>
      </w:r>
      <w:r w:rsidR="002E5692">
        <w:rPr>
          <w:rFonts w:ascii="Times New Roman" w:hAnsi="Times New Roman" w:cs="Times New Roman"/>
          <w:color w:val="000000"/>
          <w:sz w:val="24"/>
          <w:szCs w:val="24"/>
        </w:rPr>
        <w:t xml:space="preserve"> qu'aucun mécanisme capable de</w:t>
      </w:r>
      <w:r>
        <w:rPr>
          <w:rFonts w:ascii="Times New Roman" w:hAnsi="Times New Roman" w:cs="Times New Roman"/>
          <w:color w:val="000000"/>
          <w:sz w:val="24"/>
          <w:szCs w:val="24"/>
        </w:rPr>
        <w:t xml:space="preserve"> stopper son évolution ne soit adopté.</w:t>
      </w:r>
    </w:p>
    <w:p w:rsidR="00A81268" w:rsidRDefault="00A81268" w:rsidP="00BE3B12">
      <w:pPr>
        <w:rPr>
          <w:rFonts w:ascii="Times New Roman" w:hAnsi="Times New Roman" w:cs="Times New Roman"/>
          <w:color w:val="000000"/>
          <w:sz w:val="24"/>
          <w:szCs w:val="24"/>
        </w:rPr>
      </w:pPr>
      <w:r w:rsidRPr="00A81268">
        <w:rPr>
          <w:rFonts w:ascii="Times New Roman" w:hAnsi="Times New Roman" w:cs="Times New Roman"/>
          <w:color w:val="000000"/>
          <w:sz w:val="24"/>
          <w:szCs w:val="24"/>
        </w:rPr>
        <w:t>Lorsqu'on parle de la dette publique, il s'agit généralement de la dette brute</w:t>
      </w:r>
      <w:r>
        <w:rPr>
          <w:rFonts w:ascii="Times New Roman" w:hAnsi="Times New Roman" w:cs="Times New Roman"/>
          <w:color w:val="000000"/>
          <w:sz w:val="24"/>
          <w:szCs w:val="24"/>
        </w:rPr>
        <w:t xml:space="preserve"> </w:t>
      </w:r>
      <w:r w:rsidRPr="00A81268">
        <w:rPr>
          <w:rFonts w:ascii="Times New Roman" w:hAnsi="Times New Roman" w:cs="Times New Roman"/>
          <w:color w:val="000000"/>
          <w:sz w:val="24"/>
          <w:szCs w:val="24"/>
        </w:rPr>
        <w:t>(c'est-à-dire les en</w:t>
      </w:r>
      <w:r>
        <w:rPr>
          <w:rFonts w:ascii="Times New Roman" w:hAnsi="Times New Roman" w:cs="Times New Roman"/>
          <w:color w:val="000000"/>
          <w:sz w:val="24"/>
          <w:szCs w:val="24"/>
        </w:rPr>
        <w:t>gagements financiers totaux de l</w:t>
      </w:r>
      <w:r w:rsidRPr="00A81268">
        <w:rPr>
          <w:rFonts w:ascii="Times New Roman" w:hAnsi="Times New Roman" w:cs="Times New Roman"/>
          <w:color w:val="000000"/>
          <w:sz w:val="24"/>
          <w:szCs w:val="24"/>
        </w:rPr>
        <w:t>'Etat), étant donné que les</w:t>
      </w:r>
      <w:r>
        <w:rPr>
          <w:rFonts w:ascii="Times New Roman" w:hAnsi="Times New Roman" w:cs="Times New Roman"/>
          <w:color w:val="000000"/>
          <w:sz w:val="24"/>
          <w:szCs w:val="24"/>
        </w:rPr>
        <w:t xml:space="preserve"> </w:t>
      </w:r>
      <w:r w:rsidRPr="00A81268">
        <w:rPr>
          <w:rFonts w:ascii="Times New Roman" w:hAnsi="Times New Roman" w:cs="Times New Roman"/>
          <w:color w:val="000000"/>
          <w:sz w:val="24"/>
          <w:szCs w:val="24"/>
        </w:rPr>
        <w:t>chiffres correspondants sont plus facilement disponibles et donc plus largement</w:t>
      </w:r>
      <w:r>
        <w:rPr>
          <w:rFonts w:ascii="Times New Roman" w:hAnsi="Times New Roman" w:cs="Times New Roman"/>
          <w:color w:val="000000"/>
          <w:sz w:val="24"/>
          <w:szCs w:val="24"/>
        </w:rPr>
        <w:t xml:space="preserve"> </w:t>
      </w:r>
      <w:r w:rsidRPr="00A81268">
        <w:rPr>
          <w:rFonts w:ascii="Times New Roman" w:hAnsi="Times New Roman" w:cs="Times New Roman"/>
          <w:color w:val="000000"/>
          <w:sz w:val="24"/>
          <w:szCs w:val="24"/>
        </w:rPr>
        <w:t>diffusés, et qu'il existe un lien direct entre la dette brute et le montant des</w:t>
      </w:r>
      <w:r>
        <w:rPr>
          <w:rFonts w:ascii="Times New Roman" w:hAnsi="Times New Roman" w:cs="Times New Roman"/>
          <w:color w:val="000000"/>
          <w:sz w:val="24"/>
          <w:szCs w:val="24"/>
        </w:rPr>
        <w:t xml:space="preserve"> </w:t>
      </w:r>
      <w:r w:rsidRPr="00A81268">
        <w:rPr>
          <w:rFonts w:ascii="Times New Roman" w:hAnsi="Times New Roman" w:cs="Times New Roman"/>
          <w:color w:val="000000"/>
          <w:sz w:val="24"/>
          <w:szCs w:val="24"/>
        </w:rPr>
        <w:t>versements d'intérêts au titre du service de la dette -facteur qui entre pour une</w:t>
      </w:r>
      <w:r>
        <w:rPr>
          <w:rFonts w:ascii="Times New Roman" w:hAnsi="Times New Roman" w:cs="Times New Roman"/>
          <w:color w:val="000000"/>
          <w:sz w:val="24"/>
          <w:szCs w:val="24"/>
        </w:rPr>
        <w:t xml:space="preserve"> </w:t>
      </w:r>
      <w:r w:rsidRPr="00A81268">
        <w:rPr>
          <w:rFonts w:ascii="Times New Roman" w:hAnsi="Times New Roman" w:cs="Times New Roman"/>
          <w:color w:val="000000"/>
          <w:sz w:val="24"/>
          <w:szCs w:val="24"/>
        </w:rPr>
        <w:t>large part dans les inquiétudes suscitées par l'évolu</w:t>
      </w:r>
      <w:r>
        <w:rPr>
          <w:rFonts w:ascii="Times New Roman" w:hAnsi="Times New Roman" w:cs="Times New Roman"/>
          <w:color w:val="000000"/>
          <w:sz w:val="24"/>
          <w:szCs w:val="24"/>
        </w:rPr>
        <w:t>tion de la dette</w:t>
      </w:r>
      <w:r w:rsidRPr="00A81268">
        <w:rPr>
          <w:rFonts w:ascii="Times New Roman" w:hAnsi="Times New Roman" w:cs="Times New Roman"/>
          <w:color w:val="000000"/>
          <w:sz w:val="24"/>
          <w:szCs w:val="24"/>
        </w:rPr>
        <w:t>.</w:t>
      </w:r>
      <w:r>
        <w:rPr>
          <w:rFonts w:ascii="Times New Roman" w:hAnsi="Times New Roman" w:cs="Times New Roman"/>
          <w:color w:val="000000"/>
          <w:sz w:val="24"/>
          <w:szCs w:val="24"/>
        </w:rPr>
        <w:t xml:space="preserve"> Les taux d'intérêt très élevés qui en résultent font éternis</w:t>
      </w:r>
      <w:r w:rsidR="002E5692">
        <w:rPr>
          <w:rFonts w:ascii="Times New Roman" w:hAnsi="Times New Roman" w:cs="Times New Roman"/>
          <w:color w:val="000000"/>
          <w:sz w:val="24"/>
          <w:szCs w:val="24"/>
        </w:rPr>
        <w:t xml:space="preserve">er la dette au point qu'on parle </w:t>
      </w:r>
      <w:r w:rsidRPr="00A81268">
        <w:rPr>
          <w:rFonts w:ascii="Times New Roman" w:hAnsi="Times New Roman" w:cs="Times New Roman"/>
          <w:b/>
          <w:color w:val="000000"/>
          <w:sz w:val="24"/>
          <w:szCs w:val="24"/>
        </w:rPr>
        <w:t>d'alourdissement de la dette</w:t>
      </w:r>
      <w:r>
        <w:rPr>
          <w:rFonts w:ascii="Times New Roman" w:hAnsi="Times New Roman" w:cs="Times New Roman"/>
          <w:color w:val="000000"/>
          <w:sz w:val="24"/>
          <w:szCs w:val="24"/>
        </w:rPr>
        <w:t>.</w:t>
      </w:r>
      <w:r w:rsidR="00473A5F">
        <w:rPr>
          <w:rFonts w:ascii="Times New Roman" w:hAnsi="Times New Roman" w:cs="Times New Roman"/>
          <w:color w:val="000000"/>
          <w:sz w:val="24"/>
          <w:szCs w:val="24"/>
        </w:rPr>
        <w:t xml:space="preserve"> Mais la question est de savoir ce qui peut bien pousser les Etats à s'endetter?</w:t>
      </w:r>
    </w:p>
    <w:p w:rsidR="00473A5F" w:rsidRDefault="00473A5F" w:rsidP="00BE3B12">
      <w:pPr>
        <w:rPr>
          <w:rFonts w:ascii="Times New Roman" w:hAnsi="Times New Roman" w:cs="Times New Roman"/>
          <w:color w:val="000000"/>
          <w:sz w:val="24"/>
          <w:szCs w:val="24"/>
        </w:rPr>
      </w:pPr>
      <w:r>
        <w:rPr>
          <w:rFonts w:ascii="Times New Roman" w:hAnsi="Times New Roman" w:cs="Times New Roman"/>
          <w:color w:val="000000"/>
          <w:sz w:val="24"/>
          <w:szCs w:val="24"/>
        </w:rPr>
        <w:t>D'après les recherches effectuées, trois considérations peuvent justifier le recours à l'endettement:</w:t>
      </w:r>
    </w:p>
    <w:p w:rsidR="00473A5F" w:rsidRDefault="00473A5F" w:rsidP="00473A5F">
      <w:pPr>
        <w:pStyle w:val="Paragraphedeliste"/>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La dette publique est essentiellement un mécanisme qui permet de reporter dans le temps la perception d'impôts pour le financement des dépenses publiques.</w:t>
      </w:r>
    </w:p>
    <w:p w:rsidR="00473A5F" w:rsidRDefault="00473A5F" w:rsidP="00473A5F">
      <w:pPr>
        <w:pStyle w:val="Paragraphedeliste"/>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Rapprocher dans le temps le fardeau fiscal et les bénéfices associés à une dépense gouvernementale.</w:t>
      </w:r>
    </w:p>
    <w:p w:rsidR="00473A5F" w:rsidRPr="00473A5F" w:rsidRDefault="00473A5F" w:rsidP="00473A5F">
      <w:pPr>
        <w:pStyle w:val="Paragraphedeliste"/>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Redistribuer la richesse entre génération</w:t>
      </w:r>
      <w:r w:rsidR="00211470">
        <w:rPr>
          <w:rFonts w:ascii="Times New Roman" w:hAnsi="Times New Roman" w:cs="Times New Roman"/>
          <w:color w:val="000000"/>
          <w:sz w:val="24"/>
          <w:szCs w:val="24"/>
        </w:rPr>
        <w:t>s: en effet, la dette publique permet à des générations qui ne sont pas contemporaines de procéder à des transferts entre elles.</w:t>
      </w:r>
    </w:p>
    <w:p w:rsidR="00A81268" w:rsidRDefault="00211470" w:rsidP="00BE3B12">
      <w:pPr>
        <w:rPr>
          <w:rFonts w:ascii="Times New Roman" w:hAnsi="Times New Roman" w:cs="Times New Roman"/>
          <w:sz w:val="24"/>
          <w:szCs w:val="24"/>
        </w:rPr>
      </w:pPr>
      <w:r w:rsidRPr="00211470">
        <w:rPr>
          <w:rFonts w:ascii="Times New Roman" w:hAnsi="Times New Roman" w:cs="Times New Roman"/>
          <w:sz w:val="24"/>
          <w:szCs w:val="24"/>
        </w:rPr>
        <w:t xml:space="preserve">Les pays de </w:t>
      </w:r>
      <w:r>
        <w:rPr>
          <w:rFonts w:ascii="Times New Roman" w:hAnsi="Times New Roman" w:cs="Times New Roman"/>
          <w:sz w:val="24"/>
          <w:szCs w:val="24"/>
        </w:rPr>
        <w:t xml:space="preserve">la CEDEAO ont adopté pour la majorité des politiques d'endettement pour  réaliser certains de leurs projets et ont par la suite contracter des dettes lourdes </w:t>
      </w:r>
      <w:r w:rsidR="00D4760D">
        <w:rPr>
          <w:rFonts w:ascii="Times New Roman" w:hAnsi="Times New Roman" w:cs="Times New Roman"/>
          <w:sz w:val="24"/>
          <w:szCs w:val="24"/>
        </w:rPr>
        <w:t>qui les poursuivent pendant des décennies. Par conséquent ils rencontrent des problèmes de finances publiques, macroéconomiques, politiques,  d'efficacité économique et d'équité intergénérationnelle.</w:t>
      </w:r>
    </w:p>
    <w:p w:rsidR="00027588" w:rsidRDefault="00D4760D" w:rsidP="00BE3B12">
      <w:pPr>
        <w:rPr>
          <w:rFonts w:ascii="Times New Roman" w:hAnsi="Times New Roman" w:cs="Times New Roman"/>
          <w:sz w:val="24"/>
          <w:szCs w:val="24"/>
        </w:rPr>
      </w:pPr>
      <w:r>
        <w:rPr>
          <w:rFonts w:ascii="Times New Roman" w:hAnsi="Times New Roman" w:cs="Times New Roman"/>
          <w:sz w:val="24"/>
          <w:szCs w:val="24"/>
        </w:rPr>
        <w:t>A cet effet, nous avons adopter ce sujet pour des analyses plus approfondies des agrégats économiques qui entrent en jeu dans l'alourdissement de  l'endettement et puis dans la même logique, aider à la prise de décision qui pourrait changer la position de la CEDEAO dans l'économie mondiale.</w:t>
      </w:r>
    </w:p>
    <w:p w:rsidR="00027588" w:rsidRDefault="00634987" w:rsidP="00BE3B1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1.</w:t>
      </w:r>
      <w:r w:rsidR="00027588" w:rsidRPr="00027588">
        <w:rPr>
          <w:rFonts w:ascii="Times New Roman" w:hAnsi="Times New Roman" w:cs="Times New Roman"/>
          <w:b/>
          <w:sz w:val="24"/>
          <w:szCs w:val="24"/>
          <w:u w:val="single"/>
        </w:rPr>
        <w:t>RELATED WORK</w:t>
      </w:r>
    </w:p>
    <w:p w:rsidR="002E5692" w:rsidRDefault="002E5692" w:rsidP="00BE3B12">
      <w:pPr>
        <w:rPr>
          <w:rFonts w:ascii="Times New Roman" w:hAnsi="Times New Roman" w:cs="Times New Roman"/>
          <w:sz w:val="24"/>
          <w:szCs w:val="24"/>
        </w:rPr>
      </w:pPr>
      <w:r>
        <w:rPr>
          <w:rFonts w:ascii="Times New Roman" w:hAnsi="Times New Roman" w:cs="Times New Roman"/>
          <w:sz w:val="24"/>
          <w:szCs w:val="24"/>
        </w:rPr>
        <w:t>Dans</w:t>
      </w:r>
      <w:r w:rsidR="00634987">
        <w:rPr>
          <w:rFonts w:ascii="Times New Roman" w:hAnsi="Times New Roman" w:cs="Times New Roman"/>
          <w:sz w:val="24"/>
          <w:szCs w:val="24"/>
        </w:rPr>
        <w:t xml:space="preserve"> le</w:t>
      </w:r>
      <w:r>
        <w:rPr>
          <w:rFonts w:ascii="Times New Roman" w:hAnsi="Times New Roman" w:cs="Times New Roman"/>
          <w:sz w:val="24"/>
          <w:szCs w:val="24"/>
        </w:rPr>
        <w:t xml:space="preserve"> cadre des traitements de données économiques de la zone CEDEAO entre 2010 et 2016</w:t>
      </w:r>
      <w:r w:rsidR="003B466D">
        <w:rPr>
          <w:rFonts w:ascii="Times New Roman" w:hAnsi="Times New Roman" w:cs="Times New Roman"/>
          <w:sz w:val="24"/>
          <w:szCs w:val="24"/>
        </w:rPr>
        <w:t>,nous avons visualiser grâce à la bibliothèque d3.js des types de digrammes qui sont adaptés aux données dont nous disposons. Ainsi le tableau ci-dessous qui est le taux de croissance annuel dans la zone est visualisé</w:t>
      </w:r>
      <w:r w:rsidR="00634987">
        <w:rPr>
          <w:rFonts w:ascii="Times New Roman" w:hAnsi="Times New Roman" w:cs="Times New Roman"/>
          <w:sz w:val="24"/>
          <w:szCs w:val="24"/>
        </w:rPr>
        <w:t xml:space="preserve"> suivant</w:t>
      </w:r>
      <w:r w:rsidR="003B466D">
        <w:rPr>
          <w:rFonts w:ascii="Times New Roman" w:hAnsi="Times New Roman" w:cs="Times New Roman"/>
          <w:sz w:val="24"/>
          <w:szCs w:val="24"/>
        </w:rPr>
        <w:t xml:space="preserve"> un diagramme en barre verticale.</w:t>
      </w:r>
    </w:p>
    <w:tbl>
      <w:tblPr>
        <w:tblStyle w:val="Grilledutableau"/>
        <w:tblW w:w="0" w:type="auto"/>
        <w:tblLook w:val="04A0"/>
      </w:tblPr>
      <w:tblGrid>
        <w:gridCol w:w="1710"/>
        <w:gridCol w:w="1084"/>
        <w:gridCol w:w="1084"/>
        <w:gridCol w:w="1084"/>
        <w:gridCol w:w="1084"/>
        <w:gridCol w:w="1084"/>
        <w:gridCol w:w="1084"/>
        <w:gridCol w:w="1074"/>
      </w:tblGrid>
      <w:tr w:rsidR="00112F60" w:rsidTr="00112F60">
        <w:tc>
          <w:tcPr>
            <w:tcW w:w="1710"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ANNEES</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2010</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2011</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2012</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2013</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2014</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2015</w:t>
            </w:r>
          </w:p>
        </w:tc>
        <w:tc>
          <w:tcPr>
            <w:tcW w:w="107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2016</w:t>
            </w:r>
          </w:p>
        </w:tc>
      </w:tr>
      <w:tr w:rsidR="00112F60" w:rsidTr="00112F60">
        <w:tc>
          <w:tcPr>
            <w:tcW w:w="1710"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TAUX DE CROISSANCE</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49.68</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43.81</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37.95</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42.95</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51.03</w:t>
            </w:r>
          </w:p>
        </w:tc>
        <w:tc>
          <w:tcPr>
            <w:tcW w:w="108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51.74</w:t>
            </w:r>
          </w:p>
        </w:tc>
        <w:tc>
          <w:tcPr>
            <w:tcW w:w="1074" w:type="dxa"/>
          </w:tcPr>
          <w:p w:rsidR="00112F60" w:rsidRDefault="00112F60" w:rsidP="00BE3B12">
            <w:pPr>
              <w:rPr>
                <w:rFonts w:ascii="Times New Roman" w:hAnsi="Times New Roman" w:cs="Times New Roman"/>
                <w:sz w:val="24"/>
                <w:szCs w:val="24"/>
              </w:rPr>
            </w:pPr>
            <w:r>
              <w:rPr>
                <w:rFonts w:ascii="Times New Roman" w:hAnsi="Times New Roman" w:cs="Times New Roman"/>
                <w:sz w:val="24"/>
                <w:szCs w:val="24"/>
              </w:rPr>
              <w:t>55</w:t>
            </w:r>
          </w:p>
        </w:tc>
      </w:tr>
    </w:tbl>
    <w:p w:rsidR="003B466D" w:rsidRDefault="00112F60" w:rsidP="00BE3B12">
      <w:pPr>
        <w:rPr>
          <w:rFonts w:ascii="Calibri" w:hAnsi="Calibri"/>
          <w:i/>
          <w:iCs/>
          <w:color w:val="000000"/>
          <w:sz w:val="20"/>
          <w:szCs w:val="20"/>
        </w:rPr>
      </w:pPr>
      <w:r w:rsidRPr="00112F60">
        <w:rPr>
          <w:rFonts w:ascii="Calibri" w:hAnsi="Calibri"/>
          <w:i/>
          <w:iCs/>
          <w:color w:val="000000"/>
          <w:sz w:val="20"/>
          <w:szCs w:val="20"/>
        </w:rPr>
        <w:t>Source: CEDEAO ** 2016 Estimations</w:t>
      </w:r>
    </w:p>
    <w:p w:rsidR="004B5273" w:rsidRDefault="004B5273"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b/>
          <w:sz w:val="24"/>
          <w:szCs w:val="24"/>
          <w:u w:val="single"/>
        </w:rPr>
      </w:pPr>
      <w:r w:rsidRPr="00634987">
        <w:rPr>
          <w:rFonts w:ascii="Times New Roman" w:hAnsi="Times New Roman" w:cs="Times New Roman"/>
          <w:b/>
          <w:sz w:val="24"/>
          <w:szCs w:val="24"/>
          <w:u w:val="single"/>
        </w:rPr>
        <w:lastRenderedPageBreak/>
        <w:t>2.PROJECT DESCRIPTION</w:t>
      </w:r>
    </w:p>
    <w:p w:rsidR="00634987" w:rsidRDefault="00634987" w:rsidP="00BE3B12">
      <w:pPr>
        <w:rPr>
          <w:rFonts w:ascii="Times New Roman" w:hAnsi="Times New Roman" w:cs="Times New Roman"/>
          <w:sz w:val="24"/>
          <w:szCs w:val="24"/>
        </w:rPr>
      </w:pPr>
      <w:r>
        <w:rPr>
          <w:rFonts w:ascii="Times New Roman" w:hAnsi="Times New Roman" w:cs="Times New Roman"/>
          <w:sz w:val="24"/>
          <w:szCs w:val="24"/>
        </w:rPr>
        <w:t>Ce projet vise à visualiser des données de la zone CEDEAO concernant l'alourdissement de la dette publique afin d'aider à la prise de décision.</w:t>
      </w:r>
    </w:p>
    <w:p w:rsidR="00634987" w:rsidRP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634987" w:rsidRDefault="00634987" w:rsidP="00BE3B12">
      <w:pPr>
        <w:rPr>
          <w:rFonts w:ascii="Times New Roman" w:hAnsi="Times New Roman" w:cs="Times New Roman"/>
          <w:sz w:val="24"/>
          <w:szCs w:val="24"/>
        </w:rPr>
      </w:pPr>
    </w:p>
    <w:p w:rsidR="00112F60" w:rsidRPr="002E5692" w:rsidRDefault="00112F60" w:rsidP="00BE3B12">
      <w:pPr>
        <w:rPr>
          <w:rFonts w:ascii="Times New Roman" w:hAnsi="Times New Roman" w:cs="Times New Roman"/>
          <w:sz w:val="24"/>
          <w:szCs w:val="24"/>
        </w:rPr>
      </w:pPr>
    </w:p>
    <w:p w:rsidR="00027588" w:rsidRPr="00027588" w:rsidRDefault="00027588" w:rsidP="00BE3B12">
      <w:pPr>
        <w:rPr>
          <w:rFonts w:ascii="Times New Roman" w:hAnsi="Times New Roman" w:cs="Times New Roman"/>
          <w:sz w:val="24"/>
          <w:szCs w:val="24"/>
        </w:rPr>
      </w:pPr>
    </w:p>
    <w:p w:rsidR="009C5BD3" w:rsidRPr="001F7931" w:rsidRDefault="009C5BD3" w:rsidP="00BE3B12">
      <w:pPr>
        <w:rPr>
          <w:rFonts w:ascii="Times New Roman" w:hAnsi="Times New Roman" w:cs="Times New Roman"/>
        </w:rPr>
      </w:pPr>
    </w:p>
    <w:p w:rsidR="009C5BD3" w:rsidRPr="001F7931" w:rsidRDefault="009C5BD3" w:rsidP="00BE3B12">
      <w:pPr>
        <w:rPr>
          <w:rFonts w:ascii="Times New Roman" w:hAnsi="Times New Roman" w:cs="Times New Roman"/>
        </w:rPr>
      </w:pPr>
    </w:p>
    <w:p w:rsidR="009C5BD3" w:rsidRPr="001F7931" w:rsidRDefault="009C5BD3" w:rsidP="00BE3B12">
      <w:pPr>
        <w:rPr>
          <w:rFonts w:ascii="Times New Roman" w:hAnsi="Times New Roman" w:cs="Times New Roman"/>
        </w:rPr>
      </w:pPr>
    </w:p>
    <w:p w:rsidR="009C5BD3" w:rsidRPr="001F7931" w:rsidRDefault="009C5BD3" w:rsidP="00BE3B12">
      <w:pPr>
        <w:rPr>
          <w:rFonts w:ascii="Times New Roman" w:hAnsi="Times New Roman" w:cs="Times New Roman"/>
        </w:rPr>
      </w:pPr>
    </w:p>
    <w:p w:rsidR="009C5BD3" w:rsidRPr="001F7931" w:rsidRDefault="009C5BD3" w:rsidP="00BE3B12">
      <w:pPr>
        <w:rPr>
          <w:rFonts w:ascii="Times New Roman" w:hAnsi="Times New Roman" w:cs="Times New Roman"/>
        </w:rPr>
      </w:pPr>
    </w:p>
    <w:p w:rsidR="009C5BD3" w:rsidRPr="001F7931" w:rsidRDefault="009C5BD3" w:rsidP="00BE3B12">
      <w:pPr>
        <w:rPr>
          <w:rFonts w:ascii="Times New Roman" w:hAnsi="Times New Roman" w:cs="Times New Roman"/>
        </w:rPr>
      </w:pPr>
    </w:p>
    <w:p w:rsidR="009C5BD3" w:rsidRPr="001F7931" w:rsidRDefault="009C5BD3" w:rsidP="00BE3B12">
      <w:pPr>
        <w:rPr>
          <w:rFonts w:ascii="Times New Roman" w:hAnsi="Times New Roman" w:cs="Times New Roman"/>
        </w:rPr>
      </w:pPr>
    </w:p>
    <w:p w:rsidR="009C5BD3" w:rsidRPr="001F7931" w:rsidRDefault="009C5BD3" w:rsidP="00BE3B12">
      <w:pPr>
        <w:rPr>
          <w:rFonts w:ascii="Times New Roman" w:hAnsi="Times New Roman" w:cs="Times New Roman"/>
        </w:rPr>
      </w:pPr>
    </w:p>
    <w:p w:rsidR="00BE3B12" w:rsidRPr="001F7931" w:rsidRDefault="00BE3B12" w:rsidP="00BE3B12">
      <w:pPr>
        <w:rPr>
          <w:sz w:val="24"/>
          <w:szCs w:val="24"/>
        </w:rPr>
      </w:pPr>
    </w:p>
    <w:p w:rsidR="00BE3B12" w:rsidRPr="001F7931" w:rsidRDefault="00BE3B12" w:rsidP="00A24814">
      <w:pPr>
        <w:rPr>
          <w:rFonts w:ascii="Times New Roman" w:hAnsi="Times New Roman" w:cs="Times New Roman"/>
          <w:u w:val="single"/>
        </w:rPr>
      </w:pPr>
    </w:p>
    <w:sectPr w:rsidR="00BE3B12" w:rsidRPr="001F7931" w:rsidSect="00862A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2772"/>
    <w:multiLevelType w:val="hybridMultilevel"/>
    <w:tmpl w:val="0A3CE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24814"/>
    <w:rsid w:val="00027588"/>
    <w:rsid w:val="00046ABA"/>
    <w:rsid w:val="00112F60"/>
    <w:rsid w:val="001F7931"/>
    <w:rsid w:val="00211470"/>
    <w:rsid w:val="002E5692"/>
    <w:rsid w:val="003B466D"/>
    <w:rsid w:val="00473A5F"/>
    <w:rsid w:val="004B5273"/>
    <w:rsid w:val="00634987"/>
    <w:rsid w:val="00862AAB"/>
    <w:rsid w:val="008B6C03"/>
    <w:rsid w:val="009468E8"/>
    <w:rsid w:val="009C5BD3"/>
    <w:rsid w:val="00A1321A"/>
    <w:rsid w:val="00A24814"/>
    <w:rsid w:val="00A81268"/>
    <w:rsid w:val="00B8163B"/>
    <w:rsid w:val="00BE3B12"/>
    <w:rsid w:val="00D03B92"/>
    <w:rsid w:val="00D1664C"/>
    <w:rsid w:val="00D476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A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A24814"/>
    <w:rPr>
      <w:rFonts w:ascii="TimesNewRomanPS-BoldMT" w:hAnsi="TimesNewRomanPS-BoldMT" w:hint="default"/>
      <w:b/>
      <w:bCs/>
      <w:i w:val="0"/>
      <w:iCs w:val="0"/>
      <w:color w:val="000000"/>
      <w:sz w:val="16"/>
      <w:szCs w:val="16"/>
    </w:rPr>
  </w:style>
  <w:style w:type="character" w:customStyle="1" w:styleId="fontstyle21">
    <w:name w:val="fontstyle21"/>
    <w:basedOn w:val="Policepardfaut"/>
    <w:rsid w:val="00A24814"/>
    <w:rPr>
      <w:rFonts w:ascii="TimesNewRomanPSMT" w:hAnsi="TimesNewRomanPSMT" w:hint="default"/>
      <w:b w:val="0"/>
      <w:bCs w:val="0"/>
      <w:i w:val="0"/>
      <w:iCs w:val="0"/>
      <w:color w:val="000000"/>
      <w:sz w:val="16"/>
      <w:szCs w:val="16"/>
    </w:rPr>
  </w:style>
  <w:style w:type="paragraph" w:styleId="Paragraphedeliste">
    <w:name w:val="List Paragraph"/>
    <w:basedOn w:val="Normal"/>
    <w:uiPriority w:val="34"/>
    <w:qFormat/>
    <w:rsid w:val="00473A5F"/>
    <w:pPr>
      <w:ind w:left="720"/>
      <w:contextualSpacing/>
    </w:pPr>
  </w:style>
  <w:style w:type="table" w:styleId="Grilledutableau">
    <w:name w:val="Table Grid"/>
    <w:basedOn w:val="TableauNormal"/>
    <w:uiPriority w:val="59"/>
    <w:rsid w:val="00112F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5810</TotalTime>
  <Pages>5</Pages>
  <Words>721</Words>
  <Characters>3971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2020-04-06T15:40:00Z</dcterms:created>
  <dcterms:modified xsi:type="dcterms:W3CDTF">2020-04-12T18:56:00Z</dcterms:modified>
</cp:coreProperties>
</file>