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Dinesh Kumar Soni</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CS_AI_M1_1_DineshSoni.docx</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4.40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Deep, original, personally-voiced understanding ('It is not about robots taking over the world, as popular culture often suggests...'), with concrete examples (smartphone next-word prediction for AI; adaptive learning platforms and ChatGPT-generated discussion questions for Generative AI).</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Multiple, well-explained applications supported by personal classroom examples: adaptive platforms adjusting difficulty per student, ChatGPT for brainstorming discussion questions and varied writing prompts, automated grading and instant chatbot feedback.</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Thoughtful, personally-voiced analysis of personalisation benefits against a concrete bias example (an AI system recommending fewer advanced courses to certain student backgrounds based on historical data), citing UNESCO (2023).</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 (PROVISIONAL)</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Topic 3 closely mirrors the practicum brief's own embedded exemplar text and another student's submission from an earlier batch (Anita Tiwari) covering the identical scenario: Google Gemini, an environmental-sustainability quiz, the same urban-recycling-facilities assumption, the same 'all plastics are recyclable' factual error, and the same NCERT/UNEP verification — wrapped in more extensive original narrative framing, but built around the same specific facts.</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This section needs to be confirmed as the student's own genuine experience, or replaced with a different, verifiably original reflection.</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 for Topic 3)</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Topics 1 and 2 are clearly original, distinctive, and well-crafted throughout. However, Topic 3's specific content overlaps suspiciously with both the assignment's own embedded exemplar and a separate student's earlier submission.</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Confirm the authenticity of Topic 3 specifically; Topics 1-2 are not in question.</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Topic 3 shares the exact same specific scenario (tool, quiz topic, two errors, and verification sources) as the practicum brief's own embedded exemplar and as another student's submission from an earlier batch (Anita Tiwari) — recommend confirming this reflects genuine personal experience before finalising this section's score. Topics 1 and 2 do not raise this concern and read as clearly original.</w:t>
      </w:r>
    </w:p>
    <w:p>
      <w:pPr>
        <w:spacing w:after="150" w:before="300"/>
      </w:pPr>
      <w:r>
        <w:rPr>
          <w:b/>
          <w:bCs/>
          <w:color w:val="1F4E79"/>
          <w:sz w:val="26"/>
          <w:szCs w:val="26"/>
        </w:rPr>
        <w:t xml:space="preserve">Overall Summary</w:t>
      </w:r>
    </w:p>
    <w:p>
      <w:pPr>
        <w:spacing w:after="200"/>
      </w:pPr>
      <w:r>
        <w:rPr>
          <w:sz w:val="22"/>
          <w:szCs w:val="22"/>
        </w:rPr>
        <w:t xml:space="preserve">Topics 1 and 2 are excellent, original, and personally voiced. Topic 3, however, closely parallels the practicum's own exemplar text and another student's earlier submission in its specific facts, and should be verified before its score is finalised.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2026-09-10T06:00:47.359Z</dcterms:created>
  <dcterms:modified xsi:type="dcterms:W3CDTF">2026-09-10T06:00:47.359Z</dcterms:modified>
</cp:coreProperties>
</file>

<file path=docProps/custom.xml><?xml version="1.0" encoding="utf-8"?>
<Properties xmlns="http://schemas.openxmlformats.org/officeDocument/2006/custom-properties" xmlns:vt="http://schemas.openxmlformats.org/officeDocument/2006/docPropsVTypes"/>
</file>