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4E79"/>
          <w:sz w:val="32"/>
          <w:szCs w:val="32"/>
        </w:rPr>
        <w:t xml:space="preserve">AI for Educators — Practicum Evaluation Report</w:t>
      </w:r>
    </w:p>
    <w:p>
      <w:pPr>
        <w:spacing w:after="300"/>
        <w:jc w:val="center"/>
      </w:pPr>
      <w:r>
        <w:rPr>
          <w:i/>
          <w:iCs/>
          <w:color w:val="444444"/>
          <w:sz w:val="22"/>
          <w:szCs w:val="22"/>
        </w:rPr>
        <w:t xml:space="preserve">AI and Generative AI in Education: Critical Understanding and Application (CS_AI_M1_1)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Student Name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Rajesh Thakare</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Capstone Code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CS_AI_M1_1</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Course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AI for Educators</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Module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AI in Education</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Submitted File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CS_AI_M1_1_Rajesh_Thakare.pdf</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Average Score (of 5 criteria)</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3.00 / 5</w:t>
            </w:r>
          </w:p>
        </w:tc>
      </w:tr>
    </w:tbl>
    <w:p>
      <w:pPr>
        <w:spacing w:after="200"/>
      </w:pPr>
    </w:p>
    <w:p>
      <w:pPr>
        <w:spacing w:after="200"/>
      </w:pPr>
      <w:r>
        <w:rPr>
          <w:b/>
          <w:bCs/>
          <w:sz w:val="20"/>
          <w:szCs w:val="20"/>
        </w:rPr>
        <w:t xml:space="preserve">Topic completeness: </w:t>
      </w:r>
      <w:r>
        <w:rPr>
          <w:sz w:val="20"/>
          <w:szCs w:val="20"/>
        </w:rPr>
        <w:t xml:space="preserve">Topic 1: Present   |   Topic 2: Present   |   Topic 3: Present</w:t>
      </w:r>
    </w:p>
    <w:p>
      <w:pPr>
        <w:spacing w:after="150" w:before="200"/>
      </w:pPr>
      <w:r>
        <w:rPr>
          <w:b/>
          <w:bCs/>
          <w:color w:val="1F4E79"/>
          <w:sz w:val="26"/>
          <w:szCs w:val="26"/>
        </w:rPr>
        <w:t xml:space="preserve">Rubric-Based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480"/>
        <w:gridCol w:w="2480"/>
      </w:tblGrid>
      <w:tr>
        <w:trPr>
          <w:tblHeader/>
        </w:trPr>
        <w:tc>
          <w:tcPr>
            <w:tcW w:type="dxa" w:w="2000"/>
            <w:shd w:fill="1F4E79" w:val="clear"/>
            <w:tcMar>
              <w:top w:type="dxa" w:w="100"/>
              <w:left w:type="dxa" w:w="120"/>
              <w:bottom w:type="dxa" w:w="100"/>
              <w:right w:type="dxa" w:w="120"/>
            </w:tcMar>
            <w:vAlign w:val="top"/>
          </w:tcPr>
          <w:p>
            <w:pPr>
              <w:jc w:val="left"/>
            </w:pPr>
            <w:r>
              <w:rPr>
                <w:b/>
                <w:bCs/>
                <w:i w:val="false"/>
                <w:iCs w:val="false"/>
                <w:color w:val="FFFFFF"/>
                <w:sz w:val="20"/>
                <w:szCs w:val="20"/>
              </w:rPr>
              <w:t xml:space="preserve">Criterion</w:t>
            </w:r>
          </w:p>
        </w:tc>
        <w:tc>
          <w:tcPr>
            <w:tcW w:type="dxa" w:w="1400"/>
            <w:shd w:fill="1F4E79" w:val="clear"/>
            <w:tcMar>
              <w:top w:type="dxa" w:w="100"/>
              <w:left w:type="dxa" w:w="120"/>
              <w:bottom w:type="dxa" w:w="100"/>
              <w:right w:type="dxa" w:w="120"/>
            </w:tcMar>
            <w:vAlign w:val="top"/>
          </w:tcPr>
          <w:p>
            <w:pPr>
              <w:jc w:val="left"/>
            </w:pPr>
            <w:r>
              <w:rPr>
                <w:b/>
                <w:bCs/>
                <w:i w:val="false"/>
                <w:iCs w:val="false"/>
                <w:color w:val="FFFFFF"/>
                <w:sz w:val="20"/>
                <w:szCs w:val="20"/>
              </w:rPr>
              <w:t xml:space="preserve">Level</w:t>
            </w:r>
          </w:p>
        </w:tc>
        <w:tc>
          <w:tcPr>
            <w:tcW w:type="dxa" w:w="3480"/>
            <w:shd w:fill="1F4E79" w:val="clear"/>
            <w:tcMar>
              <w:top w:type="dxa" w:w="100"/>
              <w:left w:type="dxa" w:w="120"/>
              <w:bottom w:type="dxa" w:w="100"/>
              <w:right w:type="dxa" w:w="120"/>
            </w:tcMar>
            <w:vAlign w:val="top"/>
          </w:tcPr>
          <w:p>
            <w:pPr>
              <w:jc w:val="left"/>
            </w:pPr>
            <w:r>
              <w:rPr>
                <w:b/>
                <w:bCs/>
                <w:i w:val="false"/>
                <w:iCs w:val="false"/>
                <w:color w:val="FFFFFF"/>
                <w:sz w:val="20"/>
                <w:szCs w:val="20"/>
              </w:rPr>
              <w:t xml:space="preserve">Evidence</w:t>
            </w:r>
          </w:p>
        </w:tc>
        <w:tc>
          <w:tcPr>
            <w:tcW w:type="dxa" w:w="2480"/>
            <w:shd w:fill="1F4E79" w:val="clear"/>
            <w:tcMar>
              <w:top w:type="dxa" w:w="100"/>
              <w:left w:type="dxa" w:w="120"/>
              <w:bottom w:type="dxa" w:w="100"/>
              <w:right w:type="dxa" w:w="120"/>
            </w:tcMar>
            <w:vAlign w:val="top"/>
          </w:tcPr>
          <w:p>
            <w:pPr>
              <w:jc w:val="left"/>
            </w:pPr>
            <w:r>
              <w:rPr>
                <w:b/>
                <w:bCs/>
                <w:i w:val="false"/>
                <w:iCs w:val="false"/>
                <w:color w:val="FFFFFF"/>
                <w:sz w:val="20"/>
                <w:szCs w:val="20"/>
              </w:rPr>
              <w:t xml:space="preserve">Gap to Next Level</w:t>
            </w:r>
          </w:p>
        </w:tc>
      </w:tr>
      <w:tr>
        <w:tc>
          <w:tcPr>
            <w:tcW w:type="dxa" w:w="2000"/>
            <w:shd w:fill="E2EFDA" w:val="clear"/>
            <w:tcMar>
              <w:top w:type="dxa" w:w="100"/>
              <w:left w:type="dxa" w:w="120"/>
              <w:bottom w:type="dxa" w:w="100"/>
              <w:right w:type="dxa" w:w="120"/>
            </w:tcMar>
            <w:vAlign w:val="top"/>
          </w:tcPr>
          <w:p>
            <w:pPr>
              <w:jc w:val="left"/>
            </w:pPr>
            <w:r>
              <w:rPr>
                <w:b/>
                <w:bCs/>
                <w:i w:val="false"/>
                <w:iCs w:val="false"/>
                <w:color w:val="000000"/>
                <w:sz w:val="20"/>
                <w:szCs w:val="20"/>
              </w:rPr>
              <w:t xml:space="preserve">1. Concept Understanding</w:t>
            </w:r>
          </w:p>
        </w:tc>
        <w:tc>
          <w:tcPr>
            <w:tcW w:type="dxa" w:w="1400"/>
            <w:shd w:fill="E2EFDA" w:val="clear"/>
            <w:tcMar>
              <w:top w:type="dxa" w:w="100"/>
              <w:left w:type="dxa" w:w="120"/>
              <w:bottom w:type="dxa" w:w="100"/>
              <w:right w:type="dxa" w:w="120"/>
            </w:tcMar>
            <w:vAlign w:val="top"/>
          </w:tcPr>
          <w:p>
            <w:pPr>
              <w:jc w:val="center"/>
            </w:pPr>
            <w:r>
              <w:rPr>
                <w:b/>
                <w:bCs/>
                <w:i w:val="false"/>
                <w:iCs w:val="false"/>
                <w:color w:val="000000"/>
                <w:sz w:val="20"/>
                <w:szCs w:val="20"/>
              </w:rPr>
              <w:t xml:space="preserve">4 - Proficient (PROVISIONAL)</w:t>
            </w:r>
          </w:p>
        </w:tc>
        <w:tc>
          <w:tcPr>
            <w:tcW w:type="dxa" w:w="3480"/>
            <w:shd w:fill="E2EFDA"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Clear, accurate definitions with relevant examples (ChatGPT and Google Gemini named as Generative AI tools).</w:t>
            </w:r>
          </w:p>
        </w:tc>
        <w:tc>
          <w:tcPr>
            <w:tcW w:type="dxa" w:w="2480"/>
            <w:shd w:fill="E2EFDA"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Score is provisional — see authenticity flag below.</w:t>
            </w:r>
          </w:p>
        </w:tc>
      </w:tr>
      <w:tr>
        <w:tc>
          <w:tcPr>
            <w:tcW w:type="dxa" w:w="2000"/>
            <w:shd w:fill="E2EFDA" w:val="clear"/>
            <w:tcMar>
              <w:top w:type="dxa" w:w="100"/>
              <w:left w:type="dxa" w:w="120"/>
              <w:bottom w:type="dxa" w:w="100"/>
              <w:right w:type="dxa" w:w="120"/>
            </w:tcMar>
            <w:vAlign w:val="top"/>
          </w:tcPr>
          <w:p>
            <w:pPr>
              <w:jc w:val="left"/>
            </w:pPr>
            <w:r>
              <w:rPr>
                <w:b/>
                <w:bCs/>
                <w:i w:val="false"/>
                <w:iCs w:val="false"/>
                <w:color w:val="000000"/>
                <w:sz w:val="20"/>
                <w:szCs w:val="20"/>
              </w:rPr>
              <w:t xml:space="preserve">2. Application in Education</w:t>
            </w:r>
          </w:p>
        </w:tc>
        <w:tc>
          <w:tcPr>
            <w:tcW w:type="dxa" w:w="1400"/>
            <w:shd w:fill="E2EFDA" w:val="clear"/>
            <w:tcMar>
              <w:top w:type="dxa" w:w="100"/>
              <w:left w:type="dxa" w:w="120"/>
              <w:bottom w:type="dxa" w:w="100"/>
              <w:right w:type="dxa" w:w="120"/>
            </w:tcMar>
            <w:vAlign w:val="top"/>
          </w:tcPr>
          <w:p>
            <w:pPr>
              <w:jc w:val="center"/>
            </w:pPr>
            <w:r>
              <w:rPr>
                <w:b/>
                <w:bCs/>
                <w:i w:val="false"/>
                <w:iCs w:val="false"/>
                <w:color w:val="000000"/>
                <w:sz w:val="20"/>
                <w:szCs w:val="20"/>
              </w:rPr>
              <w:t xml:space="preserve">4 - Proficient (PROVISIONAL)</w:t>
            </w:r>
          </w:p>
        </w:tc>
        <w:tc>
          <w:tcPr>
            <w:tcW w:type="dxa" w:w="3480"/>
            <w:shd w:fill="E2EFDA"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Describes personalised learning, workload automation, and Generative AI support for worksheets, question papers, and lesson plans.</w:t>
            </w:r>
          </w:p>
        </w:tc>
        <w:tc>
          <w:tcPr>
            <w:tcW w:type="dxa" w:w="2480"/>
            <w:shd w:fill="E2EFDA"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Score is provisional — see authenticity flag below.</w:t>
            </w:r>
          </w:p>
        </w:tc>
      </w:tr>
      <w:tr>
        <w:tc>
          <w:tcPr>
            <w:tcW w:type="dxa" w:w="2000"/>
            <w:shd w:fill="E2EFDA" w:val="clear"/>
            <w:tcMar>
              <w:top w:type="dxa" w:w="100"/>
              <w:left w:type="dxa" w:w="120"/>
              <w:bottom w:type="dxa" w:w="100"/>
              <w:right w:type="dxa" w:w="120"/>
            </w:tcMar>
            <w:vAlign w:val="top"/>
          </w:tcPr>
          <w:p>
            <w:pPr>
              <w:jc w:val="left"/>
            </w:pPr>
            <w:r>
              <w:rPr>
                <w:b/>
                <w:bCs/>
                <w:i w:val="false"/>
                <w:iCs w:val="false"/>
                <w:color w:val="000000"/>
                <w:sz w:val="20"/>
                <w:szCs w:val="20"/>
              </w:rPr>
              <w:t xml:space="preserve">3. Analytical Thinking</w:t>
            </w:r>
          </w:p>
        </w:tc>
        <w:tc>
          <w:tcPr>
            <w:tcW w:type="dxa" w:w="1400"/>
            <w:shd w:fill="E2EFDA" w:val="clear"/>
            <w:tcMar>
              <w:top w:type="dxa" w:w="100"/>
              <w:left w:type="dxa" w:w="120"/>
              <w:bottom w:type="dxa" w:w="100"/>
              <w:right w:type="dxa" w:w="120"/>
            </w:tcMar>
            <w:vAlign w:val="top"/>
          </w:tcPr>
          <w:p>
            <w:pPr>
              <w:jc w:val="center"/>
            </w:pPr>
            <w:r>
              <w:rPr>
                <w:b/>
                <w:bCs/>
                <w:i w:val="false"/>
                <w:iCs w:val="false"/>
                <w:color w:val="000000"/>
                <w:sz w:val="20"/>
                <w:szCs w:val="20"/>
              </w:rPr>
              <w:t xml:space="preserve">4 - Proficient (PROVISIONAL)</w:t>
            </w:r>
          </w:p>
        </w:tc>
        <w:tc>
          <w:tcPr>
            <w:tcW w:type="dxa" w:w="3480"/>
            <w:shd w:fill="E2EFDA"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Balanced discussion of personalisation and reduced workload against hallucinations, bias, and privacy concerns.</w:t>
            </w:r>
          </w:p>
        </w:tc>
        <w:tc>
          <w:tcPr>
            <w:tcW w:type="dxa" w:w="2480"/>
            <w:shd w:fill="E2EFDA"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Score is provisional — see authenticity flag below.</w:t>
            </w:r>
          </w:p>
        </w:tc>
      </w:tr>
      <w:tr>
        <w:tc>
          <w:tcPr>
            <w:tcW w:type="dxa" w:w="2000"/>
            <w:shd w:fill="FCE4D6" w:val="clear"/>
            <w:tcMar>
              <w:top w:type="dxa" w:w="100"/>
              <w:left w:type="dxa" w:w="120"/>
              <w:bottom w:type="dxa" w:w="100"/>
              <w:right w:type="dxa" w:w="120"/>
            </w:tcMar>
            <w:vAlign w:val="top"/>
          </w:tcPr>
          <w:p>
            <w:pPr>
              <w:jc w:val="left"/>
            </w:pPr>
            <w:r>
              <w:rPr>
                <w:b/>
                <w:bCs/>
                <w:i w:val="false"/>
                <w:iCs w:val="false"/>
                <w:color w:val="000000"/>
                <w:sz w:val="20"/>
                <w:szCs w:val="20"/>
              </w:rPr>
              <w:t xml:space="preserve">4. Reflective Evaluation</w:t>
            </w:r>
          </w:p>
        </w:tc>
        <w:tc>
          <w:tcPr>
            <w:tcW w:type="dxa" w:w="1400"/>
            <w:shd w:fill="FCE4D6" w:val="clear"/>
            <w:tcMar>
              <w:top w:type="dxa" w:w="100"/>
              <w:left w:type="dxa" w:w="120"/>
              <w:bottom w:type="dxa" w:w="100"/>
              <w:right w:type="dxa" w:w="120"/>
            </w:tcMar>
            <w:vAlign w:val="top"/>
          </w:tcPr>
          <w:p>
            <w:pPr>
              <w:jc w:val="center"/>
            </w:pPr>
            <w:r>
              <w:rPr>
                <w:b/>
                <w:bCs/>
                <w:i w:val="false"/>
                <w:iCs w:val="false"/>
                <w:color w:val="000000"/>
                <w:sz w:val="20"/>
                <w:szCs w:val="20"/>
              </w:rPr>
              <w:t xml:space="preserve">2 - Developing (PROVISIONAL)</w:t>
            </w:r>
          </w:p>
        </w:tc>
        <w:tc>
          <w:tcPr>
            <w:tcW w:type="dxa" w:w="3480"/>
            <w:shd w:fill="FCE4D6"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The reflection never actually names which tool was used — it reads 'I used as a Generative AI tool to prepare educational content...', with the tool name apparently omitted or left as a placeholder — despite the instructions explicitly requiring the student to 'be specific about the tool you used.'</w:t>
            </w:r>
          </w:p>
        </w:tc>
        <w:tc>
          <w:tcPr>
            <w:tcW w:type="dxa" w:w="2480"/>
            <w:shd w:fill="FCE4D6"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Name the specific tool used and describe one concrete, specific example of an issue found.</w:t>
            </w:r>
          </w:p>
        </w:tc>
      </w:tr>
      <w:tr>
        <w:tc>
          <w:tcPr>
            <w:tcW w:type="dxa" w:w="2000"/>
            <w:shd w:fill="F8CBAD" w:val="clear"/>
            <w:tcMar>
              <w:top w:type="dxa" w:w="100"/>
              <w:left w:type="dxa" w:w="120"/>
              <w:bottom w:type="dxa" w:w="100"/>
              <w:right w:type="dxa" w:w="120"/>
            </w:tcMar>
            <w:vAlign w:val="top"/>
          </w:tcPr>
          <w:p>
            <w:pPr>
              <w:jc w:val="left"/>
            </w:pPr>
            <w:r>
              <w:rPr>
                <w:b/>
                <w:bCs/>
                <w:i w:val="false"/>
                <w:iCs w:val="false"/>
                <w:color w:val="000000"/>
                <w:sz w:val="20"/>
                <w:szCs w:val="20"/>
              </w:rPr>
              <w:t xml:space="preserve">5. Authenticity, Clarity, and Structure</w:t>
            </w:r>
          </w:p>
        </w:tc>
        <w:tc>
          <w:tcPr>
            <w:tcW w:type="dxa" w:w="1400"/>
            <w:shd w:fill="F8CBAD" w:val="clear"/>
            <w:tcMar>
              <w:top w:type="dxa" w:w="100"/>
              <w:left w:type="dxa" w:w="120"/>
              <w:bottom w:type="dxa" w:w="100"/>
              <w:right w:type="dxa" w:w="120"/>
            </w:tcMar>
            <w:vAlign w:val="top"/>
          </w:tcPr>
          <w:p>
            <w:pPr>
              <w:jc w:val="center"/>
            </w:pPr>
            <w:r>
              <w:rPr>
                <w:b/>
                <w:bCs/>
                <w:i w:val="false"/>
                <w:iCs w:val="false"/>
                <w:color w:val="000000"/>
                <w:sz w:val="20"/>
                <w:szCs w:val="20"/>
              </w:rPr>
              <w:t xml:space="preserve">1 - Incomplete (PROVISIONAL)</w:t>
            </w:r>
          </w:p>
        </w:tc>
        <w:tc>
          <w:tcPr>
            <w:tcW w:type="dxa" w:w="3480"/>
            <w:shd w:fill="F8CBAD"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The document opens with: 'AI for Educators – Complete Assignment / Answers (Ready to Submit) / ... The PDF asks for 3 answers with specific word limits and original writing. Below are well-structured answers based on the assignment instructions and learning goals.' This is unmistakably an AI chat tool's own reply framing, left in the submission unedited.</w:t>
            </w:r>
          </w:p>
        </w:tc>
        <w:tc>
          <w:tcPr>
            <w:tcW w:type="dxa" w:w="2480"/>
            <w:shd w:fill="F8CBAD"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This must be resolved directly with the student before any score is finalised — see flag below.</w:t>
            </w:r>
          </w:p>
        </w:tc>
      </w:tr>
    </w:tbl>
    <w:p>
      <w:pPr>
        <w:spacing w:after="200"/>
      </w:pPr>
    </w:p>
    <w:p>
      <w:pPr>
        <w:spacing w:after="150" w:before="200"/>
      </w:pPr>
      <w:r>
        <w:rPr>
          <w:b/>
          <w:bCs/>
          <w:color w:val="C00000"/>
          <w:sz w:val="26"/>
          <w:szCs w:val="26"/>
        </w:rPr>
        <w:t xml:space="preserve">Flags for Human Review</w:t>
      </w:r>
    </w:p>
    <w:p>
      <w:pPr>
        <w:shd w:fill="FCE4D6" w:val="clear"/>
        <w:spacing w:after="100"/>
        <w:ind w:left="200"/>
      </w:pPr>
      <w:r>
        <w:rPr>
          <w:b/>
          <w:bCs/>
          <w:color w:val="C00000"/>
          <w:sz w:val="20"/>
          <w:szCs w:val="20"/>
        </w:rPr>
        <w:t xml:space="preserve">⚠  </w:t>
      </w:r>
      <w:r>
        <w:rPr>
          <w:sz w:val="20"/>
          <w:szCs w:val="20"/>
        </w:rPr>
        <w:t xml:space="preserve">SERIOUS AUTHENTICITY CONCERN — UNEDITED AI CHAT OUTPUT: the submission opens with an AI chat tool's own reply header ('AI for Educators – Complete Assignment / Answers (Ready to Submit)...'), left in verbatim. This closely parallels a case from an earlier batch (Kalyani Mali) and is very likely an unedited export of an AI-generated response rather than the student's own work. All scores above are provisional and require direct instructor follow-up before any feedback or grade is issued.</w:t>
      </w:r>
    </w:p>
    <w:p>
      <w:pPr>
        <w:shd w:fill="FCE4D6" w:val="clear"/>
        <w:spacing w:after="100"/>
        <w:ind w:left="200"/>
      </w:pPr>
      <w:r>
        <w:rPr>
          <w:b/>
          <w:bCs/>
          <w:color w:val="C00000"/>
          <w:sz w:val="20"/>
          <w:szCs w:val="20"/>
        </w:rPr>
        <w:t xml:space="preserve">⚠  </w:t>
      </w:r>
      <w:r>
        <w:rPr>
          <w:sz w:val="20"/>
          <w:szCs w:val="20"/>
        </w:rPr>
        <w:t xml:space="preserve">The reflective section never names the specific tool used, despite the explicit instruction to do so — consistent with the content reading as a generic, unedited AI output rather than a genuine personal account.</w:t>
      </w:r>
    </w:p>
    <w:p>
      <w:pPr>
        <w:spacing w:after="150" w:before="300"/>
      </w:pPr>
      <w:r>
        <w:rPr>
          <w:b/>
          <w:bCs/>
          <w:color w:val="1F4E79"/>
          <w:sz w:val="26"/>
          <w:szCs w:val="26"/>
        </w:rPr>
        <w:t xml:space="preserve">Overall Summary</w:t>
      </w:r>
    </w:p>
    <w:p>
      <w:pPr>
        <w:spacing w:after="200"/>
      </w:pPr>
      <w:r>
        <w:rPr>
          <w:sz w:val="22"/>
          <w:szCs w:val="22"/>
        </w:rPr>
        <w:t xml:space="preserve">This submission opens with an AI chatbot's own reply framing ('AI for Educators – Complete Assignment / Answers (Ready to Submit)...'), left unedited, and the reflective section never actually names the tool supposedly used. This is a serious authenticity concern requiring direct follow-up before any score is finalised.</w:t>
      </w:r>
    </w:p>
    <w:p>
      <w:pPr>
        <w:pBdr>
          <w:top w:val="single" w:color="BFBFBF" w:sz="6" w:space="4"/>
        </w:pBdr>
        <w:spacing w:before="300"/>
      </w:pPr>
      <w:r>
        <w:rPr>
          <w:i/>
          <w:iCs/>
          <w:color w:val="666666"/>
          <w:sz w:val="18"/>
          <w:szCs w:val="18"/>
        </w:rPr>
        <w:t xml:space="preserve">This evaluation was generated with AI assistance against the published practicum rubric. Any items listed under “Flags for Human Review”, and all scores overall, require instructor verification before being finalised or returned to the learner.</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2026-09-10T06:00:47.610Z</dcterms:created>
  <dcterms:modified xsi:type="dcterms:W3CDTF">2026-09-10T06:00:47.610Z</dcterms:modified>
</cp:coreProperties>
</file>

<file path=docProps/custom.xml><?xml version="1.0" encoding="utf-8"?>
<Properties xmlns="http://schemas.openxmlformats.org/officeDocument/2006/custom-properties" xmlns:vt="http://schemas.openxmlformats.org/officeDocument/2006/docPropsVTypes"/>
</file>