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4E79"/>
          <w:sz w:val="32"/>
          <w:szCs w:val="32"/>
        </w:rPr>
        <w:t xml:space="preserve">AI for Educators — Practicum Evaluation Report</w:t>
      </w:r>
    </w:p>
    <w:p>
      <w:pPr>
        <w:spacing w:after="300"/>
        <w:jc w:val="center"/>
      </w:pPr>
      <w:r>
        <w:rPr>
          <w:i/>
          <w:iCs/>
          <w:color w:val="444444"/>
          <w:sz w:val="22"/>
          <w:szCs w:val="22"/>
        </w:rPr>
        <w:t xml:space="preserve">AI and Generative AI in Education: Critical Understanding and Application (CS_AI_M1_1)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Student Name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Sana Deshmukh</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Capstone Code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CS_AI_M1_1</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Course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for Educators</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Module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AI in Education</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Submitted File</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CS_AI_M1_SanaDeshmukh.docx</w:t>
            </w:r>
          </w:p>
        </w:tc>
      </w:tr>
      <w:tr>
        <w:tc>
          <w:tcPr>
            <w:tcW w:type="dxa" w:w="4680"/>
            <w:shd w:fill="D9E2F3" w:val="clear"/>
            <w:tcMar>
              <w:top w:type="dxa" w:w="100"/>
              <w:left w:type="dxa" w:w="120"/>
              <w:bottom w:type="dxa" w:w="100"/>
              <w:right w:type="dxa" w:w="120"/>
            </w:tcMar>
            <w:vAlign w:val="top"/>
          </w:tcPr>
          <w:p>
            <w:pPr>
              <w:jc w:val="left"/>
            </w:pPr>
            <w:r>
              <w:rPr>
                <w:b/>
                <w:bCs/>
                <w:i w:val="false"/>
                <w:iCs w:val="false"/>
                <w:color w:val="000000"/>
                <w:sz w:val="20"/>
                <w:szCs w:val="20"/>
              </w:rPr>
              <w:t xml:space="preserve">Average Score (of 5 criteria)</w:t>
            </w:r>
          </w:p>
        </w:tc>
        <w:tc>
          <w:tcPr>
            <w:tcW w:type="dxa" w:w="4680"/>
            <w:tcMar>
              <w:top w:type="dxa" w:w="100"/>
              <w:left w:type="dxa" w:w="120"/>
              <w:bottom w:type="dxa" w:w="100"/>
              <w:right w:type="dxa" w:w="120"/>
            </w:tcMar>
            <w:vAlign w:val="top"/>
          </w:tcPr>
          <w:p>
            <w:pPr>
              <w:jc w:val="left"/>
            </w:pPr>
            <w:r>
              <w:rPr>
                <w:b w:val="false"/>
                <w:bCs w:val="false"/>
                <w:i w:val="false"/>
                <w:iCs w:val="false"/>
                <w:color w:val="000000"/>
                <w:sz w:val="20"/>
                <w:szCs w:val="20"/>
              </w:rPr>
              <w:t xml:space="preserve">4.80 / 5</w:t>
            </w:r>
          </w:p>
        </w:tc>
      </w:tr>
    </w:tbl>
    <w:p>
      <w:pPr>
        <w:spacing w:after="200"/>
      </w:pPr>
    </w:p>
    <w:p>
      <w:pPr>
        <w:spacing w:after="200"/>
      </w:pPr>
      <w:r>
        <w:rPr>
          <w:b/>
          <w:bCs/>
          <w:sz w:val="20"/>
          <w:szCs w:val="20"/>
        </w:rPr>
        <w:t xml:space="preserve">Topic completeness: </w:t>
      </w:r>
      <w:r>
        <w:rPr>
          <w:sz w:val="20"/>
          <w:szCs w:val="20"/>
        </w:rPr>
        <w:t xml:space="preserve">Topic 1: Present   |   Topic 2: Present   |   Topic 3: Present</w:t>
      </w:r>
    </w:p>
    <w:p>
      <w:pPr>
        <w:spacing w:after="150" w:before="200"/>
      </w:pPr>
      <w:r>
        <w:rPr>
          <w:b/>
          <w:bCs/>
          <w:color w:val="1F4E79"/>
          <w:sz w:val="26"/>
          <w:szCs w:val="26"/>
        </w:rPr>
        <w:t xml:space="preserve">Rubric-Based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3480"/>
        <w:gridCol w:w="2480"/>
      </w:tblGrid>
      <w:tr>
        <w:trPr>
          <w:tblHeader/>
        </w:trPr>
        <w:tc>
          <w:tcPr>
            <w:tcW w:type="dxa" w:w="20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Criterion</w:t>
            </w:r>
          </w:p>
        </w:tc>
        <w:tc>
          <w:tcPr>
            <w:tcW w:type="dxa" w:w="140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Level</w:t>
            </w:r>
          </w:p>
        </w:tc>
        <w:tc>
          <w:tcPr>
            <w:tcW w:type="dxa" w:w="3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Evidence</w:t>
            </w:r>
          </w:p>
        </w:tc>
        <w:tc>
          <w:tcPr>
            <w:tcW w:type="dxa" w:w="2480"/>
            <w:shd w:fill="1F4E79" w:val="clear"/>
            <w:tcMar>
              <w:top w:type="dxa" w:w="100"/>
              <w:left w:type="dxa" w:w="120"/>
              <w:bottom w:type="dxa" w:w="100"/>
              <w:right w:type="dxa" w:w="120"/>
            </w:tcMar>
            <w:vAlign w:val="top"/>
          </w:tcPr>
          <w:p>
            <w:pPr>
              <w:jc w:val="left"/>
            </w:pPr>
            <w:r>
              <w:rPr>
                <w:b/>
                <w:bCs/>
                <w:i w:val="false"/>
                <w:iCs w:val="false"/>
                <w:color w:val="FFFFFF"/>
                <w:sz w:val="20"/>
                <w:szCs w:val="20"/>
              </w:rPr>
              <w:t xml:space="preserve">Gap to Next Level</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1. Concept Understanding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Deep, precise understanding with three distinct, well-explained examples: adaptive learning platforms adjusting difficulty, generative chatbots drafting lesson plans/quizzes, and AI-based grammar/originality checkers supporting academic integrity assessment.</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E2EFDA" w:val="clear"/>
            <w:tcMar>
              <w:top w:type="dxa" w:w="100"/>
              <w:left w:type="dxa" w:w="120"/>
              <w:bottom w:type="dxa" w:w="100"/>
              <w:right w:type="dxa" w:w="120"/>
            </w:tcMar>
            <w:vAlign w:val="top"/>
          </w:tcPr>
          <w:p>
            <w:pPr>
              <w:jc w:val="left"/>
            </w:pPr>
            <w:r>
              <w:rPr>
                <w:b/>
                <w:bCs/>
                <w:i w:val="false"/>
                <w:iCs w:val="false"/>
                <w:color w:val="000000"/>
                <w:sz w:val="20"/>
                <w:szCs w:val="20"/>
              </w:rPr>
              <w:t xml:space="preserve">2. Application in Education</w:t>
            </w:r>
          </w:p>
        </w:tc>
        <w:tc>
          <w:tcPr>
            <w:tcW w:type="dxa" w:w="1400"/>
            <w:shd w:fill="E2EFDA" w:val="clear"/>
            <w:tcMar>
              <w:top w:type="dxa" w:w="100"/>
              <w:left w:type="dxa" w:w="120"/>
              <w:bottom w:type="dxa" w:w="100"/>
              <w:right w:type="dxa" w:w="120"/>
            </w:tcMar>
            <w:vAlign w:val="top"/>
          </w:tcPr>
          <w:p>
            <w:pPr>
              <w:jc w:val="center"/>
            </w:pPr>
            <w:r>
              <w:rPr>
                <w:b/>
                <w:bCs/>
                <w:i w:val="false"/>
                <w:iCs w:val="false"/>
                <w:color w:val="000000"/>
                <w:sz w:val="20"/>
                <w:szCs w:val="20"/>
              </w:rPr>
              <w:t xml:space="preserve">4 - Proficient</w:t>
            </w:r>
          </w:p>
        </w:tc>
        <w:tc>
          <w:tcPr>
            <w:tcW w:type="dxa" w:w="3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Clear applications with elaboration, woven through Topic 1's three-example structure and Topic 2's discussion of automated grading and draft-resource generation.</w:t>
            </w:r>
          </w:p>
        </w:tc>
        <w:tc>
          <w:tcPr>
            <w:tcW w:type="dxa" w:w="2480"/>
            <w:shd w:fill="E2EFDA"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Anchor an application to a named tool or documented case to reach Exemplary.</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3. Analytical Thinking</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Well-structured, balanced analysis of personalisation and reduced administrative workload against weakened independent thinking, biased training data, privacy concerns, and hallucinated outputs, citing UNESCO (2023).</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4. Reflective Evaluation</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Names the specific tool (ChatGPT) and task (a Grade 5 water cycle lesson plan), identifies two distinct, specific issues (a factual oversimplification about cloud formation ignoring transpiration/sublimation, and a contextual bias assuming home printer access), and describes concrete verification against the NCERT Grade 5 Science textbook.</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r>
        <w:tc>
          <w:tcPr>
            <w:tcW w:type="dxa" w:w="2000"/>
            <w:shd w:fill="C6E0B4" w:val="clear"/>
            <w:tcMar>
              <w:top w:type="dxa" w:w="100"/>
              <w:left w:type="dxa" w:w="120"/>
              <w:bottom w:type="dxa" w:w="100"/>
              <w:right w:type="dxa" w:w="120"/>
            </w:tcMar>
            <w:vAlign w:val="top"/>
          </w:tcPr>
          <w:p>
            <w:pPr>
              <w:jc w:val="left"/>
            </w:pPr>
            <w:r>
              <w:rPr>
                <w:b/>
                <w:bCs/>
                <w:i w:val="false"/>
                <w:iCs w:val="false"/>
                <w:color w:val="000000"/>
                <w:sz w:val="20"/>
                <w:szCs w:val="20"/>
              </w:rPr>
              <w:t xml:space="preserve">5. Authenticity, Clarity, and Structure</w:t>
            </w:r>
          </w:p>
        </w:tc>
        <w:tc>
          <w:tcPr>
            <w:tcW w:type="dxa" w:w="1400"/>
            <w:shd w:fill="C6E0B4" w:val="clear"/>
            <w:tcMar>
              <w:top w:type="dxa" w:w="100"/>
              <w:left w:type="dxa" w:w="120"/>
              <w:bottom w:type="dxa" w:w="100"/>
              <w:right w:type="dxa" w:w="120"/>
            </w:tcMar>
            <w:vAlign w:val="top"/>
          </w:tcPr>
          <w:p>
            <w:pPr>
              <w:jc w:val="center"/>
            </w:pPr>
            <w:r>
              <w:rPr>
                <w:b/>
                <w:bCs/>
                <w:i w:val="false"/>
                <w:iCs w:val="false"/>
                <w:color w:val="000000"/>
                <w:sz w:val="20"/>
                <w:szCs w:val="20"/>
              </w:rPr>
              <w:t xml:space="preserve">5 - Exemplary</w:t>
            </w:r>
          </w:p>
        </w:tc>
        <w:tc>
          <w:tcPr>
            <w:tcW w:type="dxa" w:w="3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Excellent, clear structure with a metadata header and a properly formatted references section (NCERT 2023; UNESCO 2023).</w:t>
            </w:r>
          </w:p>
        </w:tc>
        <w:tc>
          <w:tcPr>
            <w:tcW w:type="dxa" w:w="2480"/>
            <w:shd w:fill="C6E0B4" w:val="clear"/>
            <w:tcMar>
              <w:top w:type="dxa" w:w="100"/>
              <w:left w:type="dxa" w:w="120"/>
              <w:bottom w:type="dxa" w:w="100"/>
              <w:right w:type="dxa" w:w="120"/>
            </w:tcMar>
            <w:vAlign w:val="top"/>
          </w:tcPr>
          <w:p>
            <w:pPr>
              <w:jc w:val="left"/>
            </w:pPr>
            <w:r>
              <w:rPr>
                <w:b w:val="false"/>
                <w:bCs w:val="false"/>
                <w:i w:val="false"/>
                <w:iCs w:val="false"/>
                <w:color w:val="000000"/>
                <w:sz w:val="20"/>
                <w:szCs w:val="20"/>
              </w:rPr>
              <w:t xml:space="preserve">Already at Exemplary — no gap.</w:t>
            </w:r>
          </w:p>
        </w:tc>
      </w:tr>
    </w:tbl>
    <w:p>
      <w:pPr>
        <w:spacing w:after="200"/>
      </w:pPr>
    </w:p>
    <w:p>
      <w:pPr>
        <w:spacing w:after="150" w:before="200"/>
      </w:pPr>
      <w:r>
        <w:rPr>
          <w:b/>
          <w:bCs/>
          <w:color w:val="C00000"/>
          <w:sz w:val="26"/>
          <w:szCs w:val="26"/>
        </w:rPr>
        <w:t xml:space="preserve">Flags for Human Review</w:t>
      </w:r>
    </w:p>
    <w:p>
      <w:pPr>
        <w:spacing w:after="200"/>
      </w:pPr>
      <w:r>
        <w:rPr>
          <w:i/>
          <w:iCs/>
          <w:sz w:val="20"/>
          <w:szCs w:val="20"/>
        </w:rPr>
        <w:t xml:space="preserve">No flags raised for this submission.</w:t>
      </w:r>
    </w:p>
    <w:p>
      <w:pPr>
        <w:spacing w:after="150" w:before="300"/>
      </w:pPr>
      <w:r>
        <w:rPr>
          <w:b/>
          <w:bCs/>
          <w:color w:val="1F4E79"/>
          <w:sz w:val="26"/>
          <w:szCs w:val="26"/>
        </w:rPr>
        <w:t xml:space="preserve">Overall Summary</w:t>
      </w:r>
    </w:p>
    <w:p>
      <w:pPr>
        <w:spacing w:after="200"/>
      </w:pPr>
      <w:r>
        <w:rPr>
          <w:sz w:val="22"/>
          <w:szCs w:val="22"/>
        </w:rPr>
        <w:t xml:space="preserve">An excellent, thorough, and well-referenced submission with a particularly strong reflective section identifying two distinct, specific issues (factual and bias) in AI-generated content. No concerns identified.</w:t>
      </w:r>
    </w:p>
    <w:p>
      <w:pPr>
        <w:pBdr>
          <w:top w:val="single" w:color="BFBFBF" w:sz="6" w:space="4"/>
        </w:pBdr>
        <w:spacing w:before="300"/>
      </w:pPr>
      <w:r>
        <w:rPr>
          <w:i/>
          <w:iCs/>
          <w:color w:val="666666"/>
          <w:sz w:val="18"/>
          <w:szCs w:val="18"/>
        </w:rPr>
        <w:t xml:space="preserve">This evaluation was generated with AI assistance against the published practicum rubric. Any items listed under “Flags for Human Review”, and all scores overall, require instructor verification before being finalised or returned to the learner.</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2026-09-10T06:00:47.643Z</dcterms:created>
  <dcterms:modified xsi:type="dcterms:W3CDTF">2026-09-10T06:00:47.643Z</dcterms:modified>
</cp:coreProperties>
</file>

<file path=docProps/custom.xml><?xml version="1.0" encoding="utf-8"?>
<Properties xmlns="http://schemas.openxmlformats.org/officeDocument/2006/custom-properties" xmlns:vt="http://schemas.openxmlformats.org/officeDocument/2006/docPropsVTypes"/>
</file>