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2"/>
          <w:szCs w:val="32"/>
        </w:rPr>
        <w:t xml:space="preserve">AI for Educators — Practicum Evaluation Report</w:t>
      </w:r>
    </w:p>
    <w:p>
      <w:pPr>
        <w:spacing w:after="300"/>
        <w:jc w:val="center"/>
      </w:pPr>
      <w:r>
        <w:rPr>
          <w:i/>
          <w:iCs/>
          <w:sz w:val="22"/>
          <w:szCs w:val="22"/>
        </w:rPr>
        <w:t xml:space="preserve">Prompt Engineering for Educators (CS_AI_M2_1)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DEBF7" w:val="clear"/>
            <w:tcMar>
              <w:top w:type="dxa" w:w="100"/>
              <w:left w:type="dxa" w:w="120"/>
              <w:bottom w:type="dxa" w:w="100"/>
              <w:right w:type="dxa" w:w="120"/>
            </w:tcMar>
            <w:vAlign w:val="center"/>
          </w:tcPr>
          <w:p>
            <w:pPr>
              <w:jc w:val="left"/>
            </w:pPr>
            <w:r>
              <w:rPr>
                <w:b/>
                <w:bCs/>
                <w:sz w:val="20"/>
                <w:szCs w:val="20"/>
              </w:rPr>
              <w:t xml:space="preserve">Learner Name</w:t>
            </w:r>
          </w:p>
        </w:tc>
        <w:tc>
          <w:tcPr>
            <w:shd w:fill="FFFFFF" w:val="clear"/>
            <w:tcMar>
              <w:top w:type="dxa" w:w="100"/>
              <w:left w:type="dxa" w:w="120"/>
              <w:bottom w:type="dxa" w:w="100"/>
              <w:right w:type="dxa" w:w="120"/>
            </w:tcMar>
            <w:vAlign w:val="center"/>
          </w:tcPr>
          <w:p>
            <w:pPr>
              <w:jc w:val="left"/>
            </w:pPr>
            <w:r>
              <w:rPr>
                <w:b w:val="false"/>
                <w:bCs w:val="false"/>
                <w:sz w:val="20"/>
                <w:szCs w:val="20"/>
              </w:rPr>
              <w:t xml:space="preserve">Priti Purohit</w:t>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Course</w:t>
            </w:r>
          </w:p>
        </w:tc>
        <w:tc>
          <w:tcPr>
            <w:shd w:fill="F2F2F2" w:val="clear"/>
            <w:tcMar>
              <w:top w:type="dxa" w:w="100"/>
              <w:left w:type="dxa" w:w="120"/>
              <w:bottom w:type="dxa" w:w="100"/>
              <w:right w:type="dxa" w:w="120"/>
            </w:tcMar>
            <w:vAlign w:val="center"/>
          </w:tcPr>
          <w:p>
            <w:pPr>
              <w:jc w:val="left"/>
            </w:pPr>
            <w:r>
              <w:rPr>
                <w:b w:val="false"/>
                <w:bCs w:val="false"/>
                <w:sz w:val="20"/>
                <w:szCs w:val="20"/>
              </w:rPr>
              <w:t xml:space="preserve">AI for Educators</w:t>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Module</w:t>
            </w:r>
          </w:p>
        </w:tc>
        <w:tc>
          <w:tcPr>
            <w:shd w:fill="FFFFFF" w:val="clear"/>
            <w:tcMar>
              <w:top w:type="dxa" w:w="100"/>
              <w:left w:type="dxa" w:w="120"/>
              <w:bottom w:type="dxa" w:w="100"/>
              <w:right w:type="dxa" w:w="120"/>
            </w:tcMar>
            <w:vAlign w:val="center"/>
          </w:tcPr>
          <w:p>
            <w:pPr>
              <w:jc w:val="left"/>
            </w:pPr>
            <w:r>
              <w:rPr>
                <w:b w:val="false"/>
                <w:bCs w:val="false"/>
                <w:sz w:val="20"/>
                <w:szCs w:val="20"/>
              </w:rPr>
              <w:t xml:space="preserve">AI in the Classroom</w:t>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Practicum Code</w:t>
            </w:r>
          </w:p>
        </w:tc>
        <w:tc>
          <w:tcPr>
            <w:shd w:fill="F2F2F2" w:val="clear"/>
            <w:tcMar>
              <w:top w:type="dxa" w:w="100"/>
              <w:left w:type="dxa" w:w="120"/>
              <w:bottom w:type="dxa" w:w="100"/>
              <w:right w:type="dxa" w:w="120"/>
            </w:tcMar>
            <w:vAlign w:val="center"/>
          </w:tcPr>
          <w:p>
            <w:pPr>
              <w:jc w:val="left"/>
            </w:pPr>
            <w:r>
              <w:rPr>
                <w:b w:val="false"/>
                <w:bCs w:val="false"/>
                <w:sz w:val="20"/>
                <w:szCs w:val="20"/>
              </w:rPr>
              <w:t xml:space="preserve">CS_AI_M2_1</w:t>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Practicum / Topic</w:t>
            </w:r>
          </w:p>
        </w:tc>
        <w:tc>
          <w:tcPr>
            <w:shd w:fill="FFFFFF" w:val="clear"/>
            <w:tcMar>
              <w:top w:type="dxa" w:w="100"/>
              <w:left w:type="dxa" w:w="120"/>
              <w:bottom w:type="dxa" w:w="100"/>
              <w:right w:type="dxa" w:w="120"/>
            </w:tcMar>
            <w:vAlign w:val="center"/>
          </w:tcPr>
          <w:p>
            <w:pPr>
              <w:jc w:val="left"/>
            </w:pPr>
            <w:r>
              <w:rPr>
                <w:b w:val="false"/>
                <w:bCs w:val="false"/>
                <w:sz w:val="20"/>
                <w:szCs w:val="20"/>
              </w:rPr>
              <w:t xml:space="preserve">Class 7 ICSE Biology - Excretory System lesson plan and Nervous System quiz (ChatGPT)</w:t>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Submitted File</w:t>
            </w:r>
          </w:p>
        </w:tc>
        <w:tc>
          <w:tcPr>
            <w:shd w:fill="F2F2F2" w:val="clear"/>
            <w:tcMar>
              <w:top w:type="dxa" w:w="100"/>
              <w:left w:type="dxa" w:w="120"/>
              <w:bottom w:type="dxa" w:w="100"/>
              <w:right w:type="dxa" w:w="120"/>
            </w:tcMar>
            <w:vAlign w:val="center"/>
          </w:tcPr>
          <w:p>
            <w:pPr>
              <w:jc w:val="left"/>
            </w:pPr>
            <w:r>
              <w:rPr>
                <w:b w:val="false"/>
                <w:bCs w:val="false"/>
                <w:sz w:val="20"/>
                <w:szCs w:val="20"/>
              </w:rPr>
              <w:t xml:space="preserve"/>
            </w:r>
          </w:p>
        </w:tc>
      </w:tr>
      <w:tr>
        <w:tc>
          <w:tcPr>
            <w:tcW w:type="dxa" w:w="2600"/>
            <w:shd w:fill="DDEBF7" w:val="clear"/>
            <w:tcMar>
              <w:top w:type="dxa" w:w="100"/>
              <w:left w:type="dxa" w:w="120"/>
              <w:bottom w:type="dxa" w:w="100"/>
              <w:right w:type="dxa" w:w="120"/>
            </w:tcMar>
            <w:vAlign w:val="center"/>
          </w:tcPr>
          <w:p>
            <w:pPr>
              <w:jc w:val="left"/>
            </w:pPr>
            <w:r>
              <w:rPr>
                <w:b/>
                <w:bCs/>
                <w:sz w:val="20"/>
                <w:szCs w:val="20"/>
              </w:rPr>
              <w:t xml:space="preserve">Date of Evaluation</w:t>
            </w:r>
          </w:p>
        </w:tc>
        <w:tc>
          <w:tcPr>
            <w:shd w:fill="FFFFFF" w:val="clear"/>
            <w:tcMar>
              <w:top w:type="dxa" w:w="100"/>
              <w:left w:type="dxa" w:w="120"/>
              <w:bottom w:type="dxa" w:w="100"/>
              <w:right w:type="dxa" w:w="120"/>
            </w:tcMar>
            <w:vAlign w:val="center"/>
          </w:tcPr>
          <w:p>
            <w:pPr>
              <w:jc w:val="left"/>
            </w:pPr>
            <w:r>
              <w:rPr>
                <w:b w:val="false"/>
                <w:bCs w:val="false"/>
                <w:sz w:val="20"/>
                <w:szCs w:val="20"/>
              </w:rPr>
              <w:t xml:space="preserve">30 September 2026</w:t>
            </w:r>
          </w:p>
        </w:tc>
      </w:tr>
    </w:tbl>
    <w:p>
      <w:pPr>
        <w:spacing w:before="300"/>
      </w:pPr>
    </w:p>
    <w:p>
      <w:pPr>
        <w:pStyle w:val="Heading2"/>
      </w:pPr>
      <w:r>
        <w:rPr>
          <w:b/>
          <w:bCs/>
          <w:color w:val="1F4E78"/>
          <w:sz w:val="26"/>
          <w:szCs w:val="26"/>
        </w:rPr>
        <w:t xml:space="preserve">Rubric Evaluation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100"/>
              <w:left w:type="dxa" w:w="120"/>
              <w:bottom w:type="dxa" w:w="100"/>
              <w:right w:type="dxa" w:w="120"/>
            </w:tcMar>
            <w:vAlign w:val="center"/>
          </w:tcPr>
          <w:p>
            <w:pPr>
              <w:jc w:val="left"/>
            </w:pPr>
            <w:r>
              <w:rPr>
                <w:b/>
                <w:bCs/>
                <w:color w:val="FFFFFF"/>
                <w:sz w:val="20"/>
                <w:szCs w:val="20"/>
              </w:rPr>
              <w:t xml:space="preserve">Criterion</w:t>
            </w:r>
          </w:p>
        </w:tc>
        <w:tc>
          <w:tcPr>
            <w:tcW w:type="dxa" w:w="1400"/>
            <w:shd w:fill="1F4E78" w:val="clear"/>
            <w:tcMar>
              <w:top w:type="dxa" w:w="100"/>
              <w:left w:type="dxa" w:w="120"/>
              <w:bottom w:type="dxa" w:w="100"/>
              <w:right w:type="dxa" w:w="120"/>
            </w:tcMar>
            <w:vAlign w:val="center"/>
          </w:tcPr>
          <w:p>
            <w:pPr>
              <w:jc w:val="left"/>
            </w:pPr>
            <w:r>
              <w:rPr>
                <w:b/>
                <w:bCs/>
                <w:color w:val="FFFFFF"/>
                <w:sz w:val="20"/>
                <w:szCs w:val="20"/>
              </w:rPr>
              <w:t xml:space="preserve">Level</w:t>
            </w:r>
          </w:p>
        </w:tc>
        <w:tc>
          <w:tcPr>
            <w:tcW w:type="dxa" w:w="4200"/>
            <w:shd w:fill="1F4E78" w:val="clear"/>
            <w:tcMar>
              <w:top w:type="dxa" w:w="100"/>
              <w:left w:type="dxa" w:w="120"/>
              <w:bottom w:type="dxa" w:w="100"/>
              <w:right w:type="dxa" w:w="120"/>
            </w:tcMar>
            <w:vAlign w:val="center"/>
          </w:tcPr>
          <w:p>
            <w:pPr>
              <w:jc w:val="left"/>
            </w:pPr>
            <w:r>
              <w:rPr>
                <w:b/>
                <w:bCs/>
                <w:color w:val="FFFFFF"/>
                <w:sz w:val="20"/>
                <w:szCs w:val="20"/>
              </w:rPr>
              <w:t xml:space="preserve">Evidence</w:t>
            </w:r>
          </w:p>
        </w:tc>
        <w:tc>
          <w:tcPr>
            <w:tcW w:type="dxa" w:w="3200"/>
            <w:shd w:fill="1F4E78" w:val="clear"/>
            <w:tcMar>
              <w:top w:type="dxa" w:w="100"/>
              <w:left w:type="dxa" w:w="120"/>
              <w:bottom w:type="dxa" w:w="100"/>
              <w:right w:type="dxa" w:w="120"/>
            </w:tcMar>
            <w:vAlign w:val="center"/>
          </w:tcPr>
          <w:p>
            <w:pPr>
              <w:jc w:val="left"/>
            </w:pPr>
            <w:r>
              <w:rPr>
                <w:b/>
                <w:bCs/>
                <w:color w:val="FFFFFF"/>
                <w:sz w:val="20"/>
                <w:szCs w:val="20"/>
              </w:rPr>
              <w:t xml:space="preserve">Gap to Next Level</w:t>
            </w:r>
          </w:p>
        </w:tc>
      </w:tr>
      <w:tr>
        <w:tc>
          <w:tcPr>
            <w:tcW w:type="dxa" w:w="2200"/>
            <w:tcMar>
              <w:top w:type="dxa" w:w="100"/>
              <w:left w:type="dxa" w:w="120"/>
              <w:bottom w:type="dxa" w:w="100"/>
              <w:right w:type="dxa" w:w="120"/>
            </w:tcMar>
            <w:vAlign w:val="center"/>
          </w:tcPr>
          <w:p>
            <w:pPr>
              <w:jc w:val="left"/>
            </w:pPr>
            <w:r>
              <w:rPr>
                <w:b/>
                <w:bCs/>
                <w:sz w:val="20"/>
                <w:szCs w:val="20"/>
              </w:rPr>
              <w:t xml:space="preserve">1. Following All Steps (Process Adherence)</w:t>
            </w:r>
          </w:p>
        </w:tc>
        <w:tc>
          <w:tcPr>
            <w:tcW w:type="dxa" w:w="1400"/>
            <w:shd w:fill="C6EFCE" w:val="clear"/>
            <w:tcMar>
              <w:top w:type="dxa" w:w="100"/>
              <w:left w:type="dxa" w:w="120"/>
              <w:bottom w:type="dxa" w:w="100"/>
              <w:right w:type="dxa" w:w="120"/>
            </w:tcMar>
            <w:vAlign w:val="center"/>
          </w:tcPr>
          <w:p>
            <w:pPr>
              <w:jc w:val="center"/>
            </w:pPr>
            <w:r>
              <w:rPr>
                <w:b/>
                <w:bCs/>
                <w:sz w:val="20"/>
                <w:szCs w:val="20"/>
              </w:rPr>
              <w:t xml:space="preserve">5 - Excellent</w:t>
            </w:r>
          </w:p>
        </w:tc>
        <w:tc>
          <w:tcPr>
            <w:tcW w:type="dxa" w:w="4200"/>
            <w:tcMar>
              <w:top w:type="dxa" w:w="100"/>
              <w:left w:type="dxa" w:w="120"/>
              <w:bottom w:type="dxa" w:w="100"/>
              <w:right w:type="dxa" w:w="120"/>
            </w:tcMar>
            <w:vAlign w:val="center"/>
          </w:tcPr>
          <w:p>
            <w:pPr>
              <w:jc w:val="left"/>
            </w:pPr>
            <w:r>
              <w:rPr>
                <w:b w:val="false"/>
                <w:bCs w:val="false"/>
                <w:sz w:val="18"/>
                <w:szCs w:val="18"/>
              </w:rPr>
              <w:t xml:space="preserve">All steps are documented: ChatGPT rationale, two Class 7 ICSE Biology prompts (Excretory System lesson plan, Nervous System quiz), full outputs, an analysis, a revised Prompt 1 with comparison, a reflection and a critical-evaluation section.</w:t>
            </w:r>
          </w:p>
        </w:tc>
        <w:tc>
          <w:tcPr>
            <w:tcW w:type="dxa" w:w="3200"/>
            <w:tcMar>
              <w:top w:type="dxa" w:w="100"/>
              <w:left w:type="dxa" w:w="120"/>
              <w:bottom w:type="dxa" w:w="100"/>
              <w:right w:type="dxa" w:w="120"/>
            </w:tcMar>
            <w:vAlign w:val="center"/>
          </w:tcPr>
          <w:p>
            <w:pPr>
              <w:jc w:val="left"/>
            </w:pPr>
            <w:r>
              <w:rPr>
                <w:b w:val="false"/>
                <w:bCs w:val="false"/>
                <w:sz w:val="18"/>
                <w:szCs w:val="18"/>
              </w:rPr>
              <w:t xml:space="preserve">Already at the top level.</w:t>
            </w:r>
          </w:p>
        </w:tc>
      </w:tr>
      <w:tr>
        <w:tc>
          <w:tcPr>
            <w:tcW w:type="dxa" w:w="2200"/>
            <w:tcMar>
              <w:top w:type="dxa" w:w="100"/>
              <w:left w:type="dxa" w:w="120"/>
              <w:bottom w:type="dxa" w:w="100"/>
              <w:right w:type="dxa" w:w="120"/>
            </w:tcMar>
            <w:vAlign w:val="center"/>
          </w:tcPr>
          <w:p>
            <w:pPr>
              <w:jc w:val="left"/>
            </w:pPr>
            <w:r>
              <w:rPr>
                <w:b/>
                <w:bCs/>
                <w:sz w:val="20"/>
                <w:szCs w:val="20"/>
              </w:rPr>
              <w:t xml:space="preserve">2. Prompt Clarity and Effectiveness</w:t>
            </w:r>
          </w:p>
        </w:tc>
        <w:tc>
          <w:tcPr>
            <w:tcW w:type="dxa" w:w="1400"/>
            <w:shd w:fill="DDEBF7" w:val="clear"/>
            <w:tcMar>
              <w:top w:type="dxa" w:w="100"/>
              <w:left w:type="dxa" w:w="120"/>
              <w:bottom w:type="dxa" w:w="100"/>
              <w:right w:type="dxa" w:w="120"/>
            </w:tcMar>
            <w:vAlign w:val="center"/>
          </w:tcPr>
          <w:p>
            <w:pPr>
              <w:jc w:val="center"/>
            </w:pPr>
            <w:r>
              <w:rPr>
                <w:b/>
                <w:bCs/>
                <w:sz w:val="20"/>
                <w:szCs w:val="20"/>
              </w:rPr>
              <w:t xml:space="preserve">4 - Good</w:t>
            </w:r>
          </w:p>
        </w:tc>
        <w:tc>
          <w:tcPr>
            <w:tcW w:type="dxa" w:w="4200"/>
            <w:tcMar>
              <w:top w:type="dxa" w:w="100"/>
              <w:left w:type="dxa" w:w="120"/>
              <w:bottom w:type="dxa" w:w="100"/>
              <w:right w:type="dxa" w:w="120"/>
            </w:tcMar>
            <w:vAlign w:val="center"/>
          </w:tcPr>
          <w:p>
            <w:pPr>
              <w:jc w:val="left"/>
            </w:pPr>
            <w:r>
              <w:rPr>
                <w:b w:val="false"/>
                <w:bCs w:val="false"/>
                <w:sz w:val="18"/>
                <w:szCs w:val="18"/>
              </w:rPr>
              <w:t xml:space="preserve">The original prompts are concise and open-ended; the revised prompt adds duration, eleven required components, age-appropriate depth, an explicit excretion versus egestion distinction, organ roles and 'avoid unsupported medical claims'.</w:t>
            </w:r>
          </w:p>
        </w:tc>
        <w:tc>
          <w:tcPr>
            <w:tcW w:type="dxa" w:w="3200"/>
            <w:tcMar>
              <w:top w:type="dxa" w:w="100"/>
              <w:left w:type="dxa" w:w="120"/>
              <w:bottom w:type="dxa" w:w="100"/>
              <w:right w:type="dxa" w:w="120"/>
            </w:tcMar>
            <w:vAlign w:val="center"/>
          </w:tcPr>
          <w:p>
            <w:pPr>
              <w:jc w:val="left"/>
            </w:pPr>
            <w:r>
              <w:rPr>
                <w:b w:val="false"/>
                <w:bCs w:val="false"/>
                <w:sz w:val="18"/>
                <w:szCs w:val="18"/>
              </w:rPr>
              <w:t xml:space="preserve">Include learning outcomes, curriculum alignment and output structure in the original prompts.</w:t>
            </w:r>
          </w:p>
        </w:tc>
      </w:tr>
      <w:tr>
        <w:tc>
          <w:tcPr>
            <w:tcW w:type="dxa" w:w="2200"/>
            <w:tcMar>
              <w:top w:type="dxa" w:w="100"/>
              <w:left w:type="dxa" w:w="120"/>
              <w:bottom w:type="dxa" w:w="100"/>
              <w:right w:type="dxa" w:w="120"/>
            </w:tcMar>
            <w:vAlign w:val="center"/>
          </w:tcPr>
          <w:p>
            <w:pPr>
              <w:jc w:val="left"/>
            </w:pPr>
            <w:r>
              <w:rPr>
                <w:b/>
                <w:bCs/>
                <w:sz w:val="20"/>
                <w:szCs w:val="20"/>
              </w:rPr>
              <w:t xml:space="preserve">3. Analysis of AI Outputs</w:t>
            </w:r>
          </w:p>
        </w:tc>
        <w:tc>
          <w:tcPr>
            <w:tcW w:type="dxa" w:w="1400"/>
            <w:shd w:fill="C6EFCE" w:val="clear"/>
            <w:tcMar>
              <w:top w:type="dxa" w:w="100"/>
              <w:left w:type="dxa" w:w="120"/>
              <w:bottom w:type="dxa" w:w="100"/>
              <w:right w:type="dxa" w:w="120"/>
            </w:tcMar>
            <w:vAlign w:val="center"/>
          </w:tcPr>
          <w:p>
            <w:pPr>
              <w:jc w:val="center"/>
            </w:pPr>
            <w:r>
              <w:rPr>
                <w:b/>
                <w:bCs/>
                <w:sz w:val="20"/>
                <w:szCs w:val="20"/>
              </w:rPr>
              <w:t xml:space="preserve">5 - Excellent</w:t>
            </w:r>
          </w:p>
        </w:tc>
        <w:tc>
          <w:tcPr>
            <w:tcW w:type="dxa" w:w="4200"/>
            <w:tcMar>
              <w:top w:type="dxa" w:w="100"/>
              <w:left w:type="dxa" w:w="120"/>
              <w:bottom w:type="dxa" w:w="100"/>
              <w:right w:type="dxa" w:w="120"/>
            </w:tcMar>
            <w:vAlign w:val="center"/>
          </w:tcPr>
          <w:p>
            <w:pPr>
              <w:jc w:val="left"/>
            </w:pPr>
            <w:r>
              <w:rPr>
                <w:b w:val="false"/>
                <w:bCs w:val="false"/>
                <w:sz w:val="18"/>
                <w:szCs w:val="18"/>
              </w:rPr>
              <w:t xml:space="preserve">The analysis identifies specific weaknesses (no excretion/egestion distinction, broad statements about the liver, an oversimplified Question 3 on the spinal cord) and verifies against CISCE Biology material.</w:t>
            </w:r>
          </w:p>
        </w:tc>
        <w:tc>
          <w:tcPr>
            <w:tcW w:type="dxa" w:w="3200"/>
            <w:tcMar>
              <w:top w:type="dxa" w:w="100"/>
              <w:left w:type="dxa" w:w="120"/>
              <w:bottom w:type="dxa" w:w="100"/>
              <w:right w:type="dxa" w:w="120"/>
            </w:tcMar>
            <w:vAlign w:val="center"/>
          </w:tcPr>
          <w:p>
            <w:pPr>
              <w:jc w:val="left"/>
            </w:pPr>
            <w:r>
              <w:rPr>
                <w:b w:val="false"/>
                <w:bCs w:val="false"/>
                <w:sz w:val="18"/>
                <w:szCs w:val="18"/>
              </w:rPr>
              <w:t xml:space="preserve">None significant.</w:t>
            </w:r>
          </w:p>
        </w:tc>
      </w:tr>
      <w:tr>
        <w:tc>
          <w:tcPr>
            <w:tcW w:type="dxa" w:w="2200"/>
            <w:tcMar>
              <w:top w:type="dxa" w:w="100"/>
              <w:left w:type="dxa" w:w="120"/>
              <w:bottom w:type="dxa" w:w="100"/>
              <w:right w:type="dxa" w:w="120"/>
            </w:tcMar>
            <w:vAlign w:val="center"/>
          </w:tcPr>
          <w:p>
            <w:pPr>
              <w:jc w:val="left"/>
            </w:pPr>
            <w:r>
              <w:rPr>
                <w:b/>
                <w:bCs/>
                <w:sz w:val="20"/>
                <w:szCs w:val="20"/>
              </w:rPr>
              <w:t xml:space="preserve">4. Revision of Prompts</w:t>
            </w:r>
          </w:p>
        </w:tc>
        <w:tc>
          <w:tcPr>
            <w:tcW w:type="dxa" w:w="1400"/>
            <w:shd w:fill="C6EFCE" w:val="clear"/>
            <w:tcMar>
              <w:top w:type="dxa" w:w="100"/>
              <w:left w:type="dxa" w:w="120"/>
              <w:bottom w:type="dxa" w:w="100"/>
              <w:right w:type="dxa" w:w="120"/>
            </w:tcMar>
            <w:vAlign w:val="center"/>
          </w:tcPr>
          <w:p>
            <w:pPr>
              <w:jc w:val="center"/>
            </w:pPr>
            <w:r>
              <w:rPr>
                <w:b/>
                <w:bCs/>
                <w:sz w:val="20"/>
                <w:szCs w:val="20"/>
              </w:rPr>
              <w:t xml:space="preserve">5 - Excellent</w:t>
            </w:r>
          </w:p>
        </w:tc>
        <w:tc>
          <w:tcPr>
            <w:tcW w:type="dxa" w:w="4200"/>
            <w:tcMar>
              <w:top w:type="dxa" w:w="100"/>
              <w:left w:type="dxa" w:w="120"/>
              <w:bottom w:type="dxa" w:w="100"/>
              <w:right w:type="dxa" w:w="120"/>
            </w:tcMar>
            <w:vAlign w:val="center"/>
          </w:tcPr>
          <w:p>
            <w:pPr>
              <w:jc w:val="left"/>
            </w:pPr>
            <w:r>
              <w:rPr>
                <w:b w:val="false"/>
                <w:bCs w:val="false"/>
                <w:sz w:val="18"/>
                <w:szCs w:val="18"/>
              </w:rPr>
              <w:t xml:space="preserve">The revision is derived from the findings (duration, components, depth control, excretion versus egestion, separate roles for kidneys, lungs, skin and liver) and the re-run shows clearer distinctions and depth control.</w:t>
            </w:r>
          </w:p>
        </w:tc>
        <w:tc>
          <w:tcPr>
            <w:tcW w:type="dxa" w:w="3200"/>
            <w:tcMar>
              <w:top w:type="dxa" w:w="100"/>
              <w:left w:type="dxa" w:w="120"/>
              <w:bottom w:type="dxa" w:w="100"/>
              <w:right w:type="dxa" w:w="120"/>
            </w:tcMar>
            <w:vAlign w:val="center"/>
          </w:tcPr>
          <w:p>
            <w:pPr>
              <w:jc w:val="left"/>
            </w:pPr>
            <w:r>
              <w:rPr>
                <w:b w:val="false"/>
                <w:bCs w:val="false"/>
                <w:sz w:val="18"/>
                <w:szCs w:val="18"/>
              </w:rPr>
              <w:t xml:space="preserve">None significant.</w:t>
            </w:r>
          </w:p>
        </w:tc>
      </w:tr>
      <w:tr>
        <w:tc>
          <w:tcPr>
            <w:tcW w:type="dxa" w:w="2200"/>
            <w:tcMar>
              <w:top w:type="dxa" w:w="100"/>
              <w:left w:type="dxa" w:w="120"/>
              <w:bottom w:type="dxa" w:w="100"/>
              <w:right w:type="dxa" w:w="120"/>
            </w:tcMar>
            <w:vAlign w:val="center"/>
          </w:tcPr>
          <w:p>
            <w:pPr>
              <w:jc w:val="left"/>
            </w:pPr>
            <w:r>
              <w:rPr>
                <w:b/>
                <w:bCs/>
                <w:sz w:val="20"/>
                <w:szCs w:val="20"/>
              </w:rPr>
              <w:t xml:space="preserve">5. Reflection on Process</w:t>
            </w:r>
          </w:p>
        </w:tc>
        <w:tc>
          <w:tcPr>
            <w:tcW w:type="dxa" w:w="1400"/>
            <w:shd w:fill="C6EFCE" w:val="clear"/>
            <w:tcMar>
              <w:top w:type="dxa" w:w="100"/>
              <w:left w:type="dxa" w:w="120"/>
              <w:bottom w:type="dxa" w:w="100"/>
              <w:right w:type="dxa" w:w="120"/>
            </w:tcMar>
            <w:vAlign w:val="center"/>
          </w:tcPr>
          <w:p>
            <w:pPr>
              <w:jc w:val="center"/>
            </w:pPr>
            <w:r>
              <w:rPr>
                <w:b/>
                <w:bCs/>
                <w:sz w:val="20"/>
                <w:szCs w:val="20"/>
              </w:rPr>
              <w:t xml:space="preserve">5 - Excellent</w:t>
            </w:r>
          </w:p>
        </w:tc>
        <w:tc>
          <w:tcPr>
            <w:tcW w:type="dxa" w:w="4200"/>
            <w:tcMar>
              <w:top w:type="dxa" w:w="100"/>
              <w:left w:type="dxa" w:w="120"/>
              <w:bottom w:type="dxa" w:w="100"/>
              <w:right w:type="dxa" w:w="120"/>
            </w:tcMar>
            <w:vAlign w:val="center"/>
          </w:tcPr>
          <w:p>
            <w:pPr>
              <w:jc w:val="left"/>
            </w:pPr>
            <w:r>
              <w:rPr>
                <w:b w:val="false"/>
                <w:bCs w:val="false"/>
                <w:sz w:val="18"/>
                <w:szCs w:val="18"/>
              </w:rPr>
              <w:t xml:space="preserve">The reflection explains the move from broad to specific prompting, that improvement lies in accuracy and clarity rather than length, AI as an assistant rather than a substitute, and an iterative workflow.</w:t>
            </w:r>
          </w:p>
        </w:tc>
        <w:tc>
          <w:tcPr>
            <w:tcW w:type="dxa" w:w="3200"/>
            <w:tcMar>
              <w:top w:type="dxa" w:w="100"/>
              <w:left w:type="dxa" w:w="120"/>
              <w:bottom w:type="dxa" w:w="100"/>
              <w:right w:type="dxa" w:w="120"/>
            </w:tcMar>
            <w:vAlign w:val="center"/>
          </w:tcPr>
          <w:p>
            <w:pPr>
              <w:jc w:val="left"/>
            </w:pPr>
            <w:r>
              <w:rPr>
                <w:b w:val="false"/>
                <w:bCs w:val="false"/>
                <w:sz w:val="18"/>
                <w:szCs w:val="18"/>
              </w:rPr>
              <w:t xml:space="preserve">None significant.</w:t>
            </w:r>
          </w:p>
        </w:tc>
      </w:tr>
      <w:tr>
        <w:tc>
          <w:tcPr>
            <w:tcW w:type="dxa" w:w="2200"/>
            <w:tcMar>
              <w:top w:type="dxa" w:w="100"/>
              <w:left w:type="dxa" w:w="120"/>
              <w:bottom w:type="dxa" w:w="100"/>
              <w:right w:type="dxa" w:w="120"/>
            </w:tcMar>
            <w:vAlign w:val="center"/>
          </w:tcPr>
          <w:p>
            <w:pPr>
              <w:jc w:val="left"/>
            </w:pPr>
            <w:r>
              <w:rPr>
                <w:b/>
                <w:bCs/>
                <w:sz w:val="20"/>
                <w:szCs w:val="20"/>
              </w:rPr>
              <w:t xml:space="preserve">6. Ethical Considerations</w:t>
            </w:r>
          </w:p>
        </w:tc>
        <w:tc>
          <w:tcPr>
            <w:tcW w:type="dxa" w:w="1400"/>
            <w:shd w:fill="DDEBF7" w:val="clear"/>
            <w:tcMar>
              <w:top w:type="dxa" w:w="100"/>
              <w:left w:type="dxa" w:w="120"/>
              <w:bottom w:type="dxa" w:w="100"/>
              <w:right w:type="dxa" w:w="120"/>
            </w:tcMar>
            <w:vAlign w:val="center"/>
          </w:tcPr>
          <w:p>
            <w:pPr>
              <w:jc w:val="center"/>
            </w:pPr>
            <w:r>
              <w:rPr>
                <w:b/>
                <w:bCs/>
                <w:sz w:val="20"/>
                <w:szCs w:val="20"/>
              </w:rPr>
              <w:t xml:space="preserve">4 - Good</w:t>
            </w:r>
          </w:p>
        </w:tc>
        <w:tc>
          <w:tcPr>
            <w:tcW w:type="dxa" w:w="4200"/>
            <w:tcMar>
              <w:top w:type="dxa" w:w="100"/>
              <w:left w:type="dxa" w:w="120"/>
              <w:bottom w:type="dxa" w:w="100"/>
              <w:right w:type="dxa" w:w="120"/>
            </w:tcMar>
            <w:vAlign w:val="center"/>
          </w:tcPr>
          <w:p>
            <w:pPr>
              <w:jc w:val="left"/>
            </w:pPr>
            <w:r>
              <w:rPr>
                <w:b w:val="false"/>
                <w:bCs w:val="false"/>
                <w:sz w:val="18"/>
                <w:szCs w:val="18"/>
              </w:rPr>
              <w:t xml:space="preserve">Bias checks, verification against the textbook, age appropriateness, accessibility, contextual limits and educator responsibility are addressed.</w:t>
            </w:r>
          </w:p>
        </w:tc>
        <w:tc>
          <w:tcPr>
            <w:tcW w:type="dxa" w:w="3200"/>
            <w:tcMar>
              <w:top w:type="dxa" w:w="100"/>
              <w:left w:type="dxa" w:w="120"/>
              <w:bottom w:type="dxa" w:w="100"/>
              <w:right w:type="dxa" w:w="120"/>
            </w:tcMar>
            <w:vAlign w:val="center"/>
          </w:tcPr>
          <w:p>
            <w:pPr>
              <w:jc w:val="left"/>
            </w:pPr>
            <w:r>
              <w:rPr>
                <w:b w:val="false"/>
                <w:bCs w:val="false"/>
                <w:sz w:val="18"/>
                <w:szCs w:val="18"/>
              </w:rPr>
              <w:t xml:space="preserve">Discuss how specific biases might appear in quiz questions and contexts, and broader equity implications.</w:t>
            </w:r>
          </w:p>
        </w:tc>
      </w:tr>
    </w:tbl>
    <w:p>
      <w:pPr>
        <w:spacing w:before="300"/>
      </w:pPr>
    </w:p>
    <w:p>
      <w:pPr>
        <w:pStyle w:val="Heading2"/>
      </w:pPr>
      <w:r>
        <w:rPr>
          <w:b/>
          <w:bCs/>
          <w:color w:val="1F4E78"/>
          <w:sz w:val="26"/>
          <w:szCs w:val="26"/>
        </w:rPr>
        <w:t xml:space="preserve">Overall Summary</w:t>
      </w:r>
    </w:p>
    <w:p>
      <w:pPr>
        <w:spacing w:after="200" w:before="100"/>
      </w:pPr>
      <w:r>
        <w:rPr>
          <w:sz w:val="22"/>
          <w:szCs w:val="22"/>
        </w:rPr>
        <w:t xml:space="preserve">A strong, authentic submission tied to ICSE standards. It identifies specific content weaknesses, traces them to a well-targeted revision and reflects thoughtfully on teacher oversight. Original prompts were open-ended, and the second output could be analysed more systematically.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shd w:fill="1F4E78" w:val="clear"/>
            <w:tcMar>
              <w:top w:type="dxa" w:w="100"/>
              <w:left w:type="dxa" w:w="120"/>
              <w:bottom w:type="dxa" w:w="100"/>
              <w:right w:type="dxa" w:w="120"/>
            </w:tcMar>
            <w:vAlign w:val="center"/>
          </w:tcPr>
          <w:p>
            <w:pPr>
              <w:jc w:val="left"/>
            </w:pPr>
            <w:r>
              <w:rPr>
                <w:b/>
                <w:bCs/>
                <w:color w:val="FFFFFF"/>
                <w:sz w:val="20"/>
                <w:szCs w:val="20"/>
              </w:rPr>
              <w:t xml:space="preserve">Final Score (as returned by the evaluation, out of 5.00)</w:t>
            </w:r>
          </w:p>
        </w:tc>
        <w:tc>
          <w:tcPr>
            <w:tcW w:type="dxa" w:w="2000"/>
            <w:shd w:fill="1F4E78" w:val="clear"/>
            <w:tcMar>
              <w:top w:type="dxa" w:w="100"/>
              <w:left w:type="dxa" w:w="120"/>
              <w:bottom w:type="dxa" w:w="100"/>
              <w:right w:type="dxa" w:w="120"/>
            </w:tcMar>
            <w:vAlign w:val="center"/>
          </w:tcPr>
          <w:p>
            <w:pPr>
              <w:jc w:val="center"/>
            </w:pPr>
            <w:r>
              <w:rPr>
                <w:b/>
                <w:bCs/>
                <w:color w:val="FFFFFF"/>
                <w:sz w:val="26"/>
                <w:szCs w:val="26"/>
              </w:rPr>
              <w:t xml:space="preserve">4.67</w:t>
            </w:r>
          </w:p>
        </w:tc>
      </w:tr>
    </w:tbl>
    <w:p>
      <w:pPr>
        <w:spacing w:before="400"/>
      </w:pPr>
    </w:p>
    <w:p>
      <w:r>
        <w:rPr>
          <w:i/>
          <w:iCs/>
          <w:color w:val="595959"/>
          <w:sz w:val="18"/>
          <w:szCs w:val="18"/>
        </w:rPr>
        <w:t xml:space="preserve">Note: Scores and evidence in this report do not average automatically into a single figure per criterion; each of the six rubric criteria is reported independently above, with the final score as returned by the evaluation. Where evidence was genuinely ambiguous between two adjacent levels, this is noted explicitly in the Evidence column rather than defaulted to the higher level. Any item flagged for human review should be verified before this grade is finalised.</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2026-09-22T02:11:43.109Z</dcterms:created>
  <dcterms:modified xsi:type="dcterms:W3CDTF">2026-09-22T02:11:43.109Z</dcterms:modified>
</cp:coreProperties>
</file>

<file path=docProps/custom.xml><?xml version="1.0" encoding="utf-8"?>
<Properties xmlns="http://schemas.openxmlformats.org/officeDocument/2006/custom-properties" xmlns:vt="http://schemas.openxmlformats.org/officeDocument/2006/docPropsVTypes"/>
</file>