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E0BFC" w14:textId="77777777" w:rsidR="0094234D" w:rsidRDefault="00474349">
      <w:pPr>
        <w:pStyle w:val="Ttulo1"/>
      </w:pPr>
      <w:bookmarkStart w:id="0" w:name="plan-de-posteos-junio-2026"/>
      <w:r>
        <w:t>Plan de posteos · Junio 2026</w:t>
      </w:r>
      <w:bookmarkEnd w:id="0"/>
    </w:p>
    <w:p w14:paraId="460ED06E" w14:textId="77777777" w:rsidR="0094234D" w:rsidRDefault="00474349">
      <w:r>
        <w:rPr>
          <w:i/>
        </w:rPr>
        <w:t>Humanware Group · One Click · Didacta · Humanware Academy</w:t>
      </w:r>
    </w:p>
    <w:p w14:paraId="5DEF25F0" w14:textId="77777777" w:rsidR="0094234D" w:rsidRDefault="00474349">
      <w:pPr>
        <w:pStyle w:val="Ttulo3"/>
      </w:pPr>
      <w:bookmarkStart w:id="1" w:name="hilo-narrativo-del-mes"/>
      <w:r>
        <w:t>Hilo narrativo del mes</w:t>
      </w:r>
      <w:bookmarkEnd w:id="1"/>
    </w:p>
    <w:p w14:paraId="128C0F3B" w14:textId="77777777" w:rsidR="0094234D" w:rsidRDefault="00474349">
      <w:r>
        <w:t xml:space="preserve">Cierra el primer semestre. Mes para hacer dos ejercicios en paralelo: un </w:t>
      </w:r>
      <w:r>
        <w:rPr>
          <w:b/>
        </w:rPr>
        <w:t>balance honesto</w:t>
      </w:r>
      <w:r>
        <w:t xml:space="preserve"> de lo que dejó H1 en nuestros sectores —qué supuestos se confirmaron, qué movimientos sorprendieron, qué pasó por debajo del radar— y una </w:t>
      </w:r>
      <w:r>
        <w:rPr>
          <w:b/>
        </w:rPr>
        <w:t>agenda para H2</w:t>
      </w:r>
      <w:r>
        <w:t>, identificando los temas que van a marcar el resto del año.</w:t>
      </w:r>
    </w:p>
    <w:p w14:paraId="4BF153C4" w14:textId="77777777" w:rsidR="0094234D" w:rsidRDefault="00474349">
      <w:r>
        <w:t>Es la continuación natural del eje de mayo: si en mayo planteamos las tesis (especialización, sectores regulados, cliente listo), en junio bajamos esas tesis al terreno con evidencia concreta del semestre. Menos manifiesto, más observación. Igual rigor, mismo tono: directo, sin autobombo.</w:t>
      </w:r>
    </w:p>
    <w:p w14:paraId="60F4499B" w14:textId="77777777" w:rsidR="0094234D" w:rsidRDefault="00474349">
      <w:pPr>
        <w:pStyle w:val="Ttulo3"/>
      </w:pPr>
      <w:bookmarkStart w:id="2" w:name="cadencia"/>
      <w:r>
        <w:t>Cadencia</w:t>
      </w:r>
      <w:bookmarkEnd w:id="2"/>
    </w:p>
    <w:p w14:paraId="7D21EB29" w14:textId="77777777" w:rsidR="0094234D" w:rsidRDefault="00474349">
      <w:r>
        <w:t xml:space="preserve">Igual estructura que mayo. 4 semanas, una corta (sem 1 sin lunes porque el calendario arranca martes 2/6) y tres completas. Total: </w:t>
      </w:r>
      <w:r>
        <w:rPr>
          <w:b/>
        </w:rPr>
        <w:t>15 posteos</w:t>
      </w:r>
      <w:r>
        <w:t xml:space="preserve"> para LinkedIn.</w:t>
      </w:r>
    </w:p>
    <w:p w14:paraId="7405E188" w14:textId="77777777" w:rsidR="0094234D" w:rsidRDefault="00474349">
      <w:r>
        <w:t>Distribución semanal:</w:t>
      </w:r>
    </w:p>
    <w:p w14:paraId="328FAECC" w14:textId="77777777" w:rsidR="0094234D" w:rsidRDefault="00474349">
      <w:pPr>
        <w:numPr>
          <w:ilvl w:val="0"/>
          <w:numId w:val="4"/>
        </w:numPr>
      </w:pPr>
      <w:r>
        <w:t>Lunes — One Click</w:t>
      </w:r>
    </w:p>
    <w:p w14:paraId="4BBF3131" w14:textId="77777777" w:rsidR="0094234D" w:rsidRDefault="00474349">
      <w:pPr>
        <w:numPr>
          <w:ilvl w:val="0"/>
          <w:numId w:val="4"/>
        </w:numPr>
      </w:pPr>
      <w:r>
        <w:t>Martes — Didacta</w:t>
      </w:r>
    </w:p>
    <w:p w14:paraId="15BB9541" w14:textId="77777777" w:rsidR="0094234D" w:rsidRDefault="00474349">
      <w:pPr>
        <w:numPr>
          <w:ilvl w:val="0"/>
          <w:numId w:val="4"/>
        </w:numPr>
      </w:pPr>
      <w:r>
        <w:t>Miércoles — Humanware Academy</w:t>
      </w:r>
    </w:p>
    <w:p w14:paraId="049EE067" w14:textId="77777777" w:rsidR="0094234D" w:rsidRDefault="00474349">
      <w:pPr>
        <w:numPr>
          <w:ilvl w:val="0"/>
          <w:numId w:val="4"/>
        </w:numPr>
      </w:pPr>
      <w:r>
        <w:t>Jueves — Humanware Group</w:t>
      </w:r>
    </w:p>
    <w:p w14:paraId="44D87EF2" w14:textId="77777777" w:rsidR="0094234D" w:rsidRDefault="00474349">
      <w:pPr>
        <w:pStyle w:val="Ttulo3"/>
      </w:pPr>
      <w:bookmarkStart w:id="3" w:name="nota-sobre-el-calendario"/>
      <w:r>
        <w:t>Nota sobre el calendario</w:t>
      </w:r>
      <w:bookmarkEnd w:id="3"/>
    </w:p>
    <w:p w14:paraId="38DC530D" w14:textId="77777777" w:rsidR="0094234D" w:rsidRDefault="00474349">
      <w:r>
        <w:t>La semana 1 arranca el martes 2 de junio (el lunes 1/6 quedó cubierto por la semana 4 del plan de mayo). De ahí en adelante, ritmo semanal de lunes a jueves hasta el 25 de junio.</w:t>
      </w:r>
    </w:p>
    <w:p w14:paraId="10A3AA9A" w14:textId="77777777" w:rsidR="0094234D" w:rsidRDefault="00474349">
      <w:pPr>
        <w:pStyle w:val="Ttulo3"/>
      </w:pPr>
      <w:bookmarkStart w:id="4" w:name="nota-sobre-humanware-academy"/>
      <w:r>
        <w:t>Nota sobre Humanware Academy</w:t>
      </w:r>
      <w:bookmarkEnd w:id="4"/>
    </w:p>
    <w:p w14:paraId="6B2C8248" w14:textId="77777777" w:rsidR="0094234D" w:rsidRDefault="00474349">
      <w:r>
        <w:t>Los 4 slots de Academy se completan a mano. En el documento aparecen marcados como “Posteo Academy” en el día correspondiente.</w:t>
      </w:r>
    </w:p>
    <w:p w14:paraId="37AF661E" w14:textId="77777777" w:rsidR="0094234D" w:rsidRDefault="00474349">
      <w:pPr>
        <w:pStyle w:val="Ttulo1"/>
      </w:pPr>
      <w:bookmarkStart w:id="5" w:name="semana-1-2-al-4-de-junio"/>
      <w:r>
        <w:t>Semana 1 · 2 al 4 de junio</w:t>
      </w:r>
      <w:bookmarkEnd w:id="5"/>
    </w:p>
    <w:p w14:paraId="4012E9C7" w14:textId="77777777" w:rsidR="0094234D" w:rsidRDefault="00474349">
      <w:pPr>
        <w:pStyle w:val="Ttulo2"/>
      </w:pPr>
      <w:bookmarkStart w:id="6" w:name="post-1-didacta"/>
      <w:r>
        <w:t>Post 1 · Didacta</w:t>
      </w:r>
      <w:bookmarkEnd w:id="6"/>
    </w:p>
    <w:p w14:paraId="51A230BA" w14:textId="77777777" w:rsidR="0094234D" w:rsidRDefault="00474349">
      <w:r>
        <w:rPr>
          <w:b/>
        </w:rPr>
        <w:t>Didacta</w:t>
      </w:r>
      <w:r>
        <w:t xml:space="preserve"> · LinkedIn · Martes 2/6 · </w:t>
      </w:r>
      <w:r>
        <w:rPr>
          <w:i/>
        </w:rPr>
        <w:t>Balance H1 · Sector educativo</w:t>
      </w:r>
    </w:p>
    <w:p w14:paraId="6E54C17D" w14:textId="77777777" w:rsidR="0094234D" w:rsidRDefault="00474349">
      <w:r>
        <w:rPr>
          <w:b/>
        </w:rPr>
        <w:t>El primer cuatrimestre cierra y deja tres cosas que no estaban en el plan</w:t>
      </w:r>
    </w:p>
    <w:p w14:paraId="68150EC5" w14:textId="77777777" w:rsidR="0094234D" w:rsidRDefault="00474349">
      <w:r>
        <w:t>En las instituciones educativas, “cierre del primer cuatrimestre” suele leerse como un hito administrativo: notas, actas, recursadas. Pero si una se sienta a mirar lo que efectivamente pasó adentro entre febrero y junio, aparecen tres cosas que no estaban en el plan estratégico de ninguna universidad.</w:t>
      </w:r>
    </w:p>
    <w:p w14:paraId="5E0B5A76" w14:textId="77777777" w:rsidR="0094234D" w:rsidRDefault="00474349">
      <w:r>
        <w:t xml:space="preserve">Primero: la </w:t>
      </w:r>
      <w:r>
        <w:rPr>
          <w:b/>
        </w:rPr>
        <w:t>matrícula no se comportó como se proyectó</w:t>
      </w:r>
      <w:r>
        <w:t>. Las instituciones que tenían modelos basados en datos de los últimos cinco años, esta vez vieron desvíos serios. Carreras esperables crecieron menos. Otras, históricamente chicas, explotaron. La demografía estudiantil está moviéndose más rápido que los planes anuales.</w:t>
      </w:r>
    </w:p>
    <w:p w14:paraId="4CF8240B" w14:textId="77777777" w:rsidR="0094234D" w:rsidRDefault="00474349">
      <w:r>
        <w:t xml:space="preserve">Segundo: la </w:t>
      </w:r>
      <w:r>
        <w:rPr>
          <w:b/>
        </w:rPr>
        <w:t>gestión docente entró en una zona de tensión</w:t>
      </w:r>
      <w:r>
        <w:t>. Más rotación de cargos, más licencias, más coordinadores cubriendo huecos. Lo que en otros años era ruido de fondo, este semestre fue ruido de primer plano. Las instituciones con backoffice digitalizado lo absorbieron. Las que dependían de planillas, no.</w:t>
      </w:r>
    </w:p>
    <w:p w14:paraId="262E22E1" w14:textId="77777777" w:rsidR="0094234D" w:rsidRDefault="00474349">
      <w:r>
        <w:lastRenderedPageBreak/>
        <w:t xml:space="preserve">Tercero: la </w:t>
      </w:r>
      <w:r>
        <w:rPr>
          <w:b/>
        </w:rPr>
        <w:t>conversación sobre IA en aula</w:t>
      </w:r>
      <w:r>
        <w:t xml:space="preserve"> dejó de ser opcional. Ya no es “vamos a ver cómo se acomoda”. Es una política institucional que hay que escribir, comunicar y aplicar. Y nadie tiene un manual cómodo para hacerlo.</w:t>
      </w:r>
    </w:p>
    <w:p w14:paraId="06E0E58A" w14:textId="77777777" w:rsidR="0094234D" w:rsidRDefault="00474349">
      <w:r>
        <w:t>H1 cerró. Pero estos tres temas no se van con el cuatrimestre. Se quedan para definir el rumbo del año.</w:t>
      </w:r>
    </w:p>
    <w:p w14:paraId="4E890B66" w14:textId="77777777" w:rsidR="0094234D" w:rsidRDefault="00474349">
      <w:r>
        <w:rPr>
          <w:i/>
        </w:rPr>
        <w:t>#GestiónEducativa #EducaciónSuperior #Didacta #H12026</w:t>
      </w:r>
    </w:p>
    <w:p w14:paraId="00ADCE0F" w14:textId="77777777" w:rsidR="0094234D" w:rsidRDefault="00474349">
      <w:pPr>
        <w:pStyle w:val="Ttulo2"/>
      </w:pPr>
      <w:bookmarkStart w:id="7" w:name="post-2-humanware-academy"/>
      <w:r>
        <w:t>Post 2 · Humanware Academy</w:t>
      </w:r>
      <w:bookmarkEnd w:id="7"/>
    </w:p>
    <w:p w14:paraId="31D01825" w14:textId="77777777" w:rsidR="0094234D" w:rsidRPr="00864CB4" w:rsidRDefault="00474349">
      <w:pPr>
        <w:rPr>
          <w:lang w:val="en-US"/>
        </w:rPr>
      </w:pPr>
      <w:r w:rsidRPr="00864CB4">
        <w:rPr>
          <w:b/>
          <w:lang w:val="en-US"/>
        </w:rPr>
        <w:t>Humanware Academy</w:t>
      </w:r>
      <w:r w:rsidRPr="00864CB4">
        <w:rPr>
          <w:lang w:val="en-US"/>
        </w:rPr>
        <w:t xml:space="preserve"> · — · Miércoles 3/6 · </w:t>
      </w:r>
      <w:r w:rsidRPr="00864CB4">
        <w:rPr>
          <w:i/>
          <w:lang w:val="en-US"/>
        </w:rPr>
        <w:t>Posteo Academy</w:t>
      </w:r>
    </w:p>
    <w:p w14:paraId="2937BDD3" w14:textId="77777777" w:rsidR="0094234D" w:rsidRPr="00864CB4" w:rsidRDefault="00474349">
      <w:pPr>
        <w:pStyle w:val="Ttulo2"/>
        <w:rPr>
          <w:lang w:val="en-US"/>
        </w:rPr>
      </w:pPr>
      <w:bookmarkStart w:id="8" w:name="post-3-humanware-group"/>
      <w:r w:rsidRPr="00864CB4">
        <w:rPr>
          <w:lang w:val="en-US"/>
        </w:rPr>
        <w:t>Post 3 · Humanware Group</w:t>
      </w:r>
      <w:bookmarkEnd w:id="8"/>
    </w:p>
    <w:p w14:paraId="3776D1B4" w14:textId="77777777" w:rsidR="0094234D" w:rsidRDefault="00474349">
      <w:r>
        <w:rPr>
          <w:b/>
        </w:rPr>
        <w:t>Humanware Group</w:t>
      </w:r>
      <w:r>
        <w:t xml:space="preserve"> · LinkedIn · Jueves 4/6 · </w:t>
      </w:r>
      <w:r>
        <w:rPr>
          <w:i/>
        </w:rPr>
        <w:t>Balance H1 · Mirada del grupo</w:t>
      </w:r>
    </w:p>
    <w:p w14:paraId="7C346150" w14:textId="77777777" w:rsidR="0094234D" w:rsidRPr="00864CB4" w:rsidRDefault="00474349">
      <w:pPr>
        <w:rPr>
          <w:highlight w:val="yellow"/>
        </w:rPr>
      </w:pPr>
      <w:r w:rsidRPr="00864CB4">
        <w:rPr>
          <w:b/>
          <w:highlight w:val="yellow"/>
        </w:rPr>
        <w:t>Lo que esperábamos del primer semestre — y lo que no</w:t>
      </w:r>
    </w:p>
    <w:p w14:paraId="4F0ECCEB" w14:textId="77777777" w:rsidR="0094234D" w:rsidRPr="00864CB4" w:rsidRDefault="00474349">
      <w:pPr>
        <w:rPr>
          <w:highlight w:val="yellow"/>
        </w:rPr>
      </w:pPr>
      <w:r w:rsidRPr="00864CB4">
        <w:rPr>
          <w:highlight w:val="yellow"/>
        </w:rPr>
        <w:t>Hace seis meses hicimos una lista de hipótesis sobre cómo iba a ser este año para el grupo. Llegado junio, vale el ejercicio incómodo: revisarla en serio.</w:t>
      </w:r>
    </w:p>
    <w:p w14:paraId="105C66F3" w14:textId="77777777" w:rsidR="0094234D" w:rsidRPr="00864CB4" w:rsidRDefault="00474349">
      <w:pPr>
        <w:rPr>
          <w:highlight w:val="yellow"/>
        </w:rPr>
      </w:pPr>
      <w:r w:rsidRPr="00864CB4">
        <w:rPr>
          <w:highlight w:val="yellow"/>
        </w:rPr>
        <w:t xml:space="preserve">Lo que se confirmó: </w:t>
      </w:r>
      <w:r w:rsidRPr="00864CB4">
        <w:rPr>
          <w:b/>
          <w:highlight w:val="yellow"/>
        </w:rPr>
        <w:t>la especialización vertical sigue pagando</w:t>
      </w:r>
      <w:r w:rsidRPr="00864CB4">
        <w:rPr>
          <w:highlight w:val="yellow"/>
        </w:rPr>
        <w:t>. Los clientes que llegaron este semestre no llegaron porque seamos baratos ni rápidos. Llegaron porque entendemos el dominio. Eso nos validó la apuesta que venimos haciendo desde hace años.</w:t>
      </w:r>
    </w:p>
    <w:p w14:paraId="717667A1" w14:textId="77777777" w:rsidR="0094234D" w:rsidRPr="00864CB4" w:rsidRDefault="00474349">
      <w:pPr>
        <w:rPr>
          <w:highlight w:val="yellow"/>
        </w:rPr>
      </w:pPr>
      <w:r w:rsidRPr="00864CB4">
        <w:rPr>
          <w:highlight w:val="yellow"/>
        </w:rPr>
        <w:t xml:space="preserve">Lo que no esperábamos: el </w:t>
      </w:r>
      <w:r w:rsidRPr="00864CB4">
        <w:rPr>
          <w:b/>
          <w:highlight w:val="yellow"/>
        </w:rPr>
        <w:t>ciclo de venta se acortó en los clientes que ya estaban mirando hace dos años</w:t>
      </w:r>
      <w:r w:rsidRPr="00864CB4">
        <w:rPr>
          <w:highlight w:val="yellow"/>
        </w:rPr>
        <w:t>. La maduración de la conversación de los últimos años, finalmente, empezó a cerrarse. No es un boom: es la cosecha de plantar despacio.</w:t>
      </w:r>
    </w:p>
    <w:p w14:paraId="072117E9" w14:textId="77777777" w:rsidR="0094234D" w:rsidRPr="00864CB4" w:rsidRDefault="00474349">
      <w:pPr>
        <w:rPr>
          <w:highlight w:val="yellow"/>
        </w:rPr>
      </w:pPr>
      <w:r w:rsidRPr="00864CB4">
        <w:rPr>
          <w:highlight w:val="yellow"/>
        </w:rPr>
        <w:t>Lo que nos sorprendió en negativo: las organizaciones que más necesitan modernizarse siguen siendo, en promedio, las que más tardan en hacerlo. La urgencia operativa no se traduce automáticamente en decisión. Algo que ya sabíamos, pero que volvimos a chocar de frente.</w:t>
      </w:r>
    </w:p>
    <w:p w14:paraId="7C2DB8E1" w14:textId="77777777" w:rsidR="0094234D" w:rsidRPr="00864CB4" w:rsidRDefault="00474349">
      <w:pPr>
        <w:rPr>
          <w:highlight w:val="yellow"/>
        </w:rPr>
      </w:pPr>
      <w:r w:rsidRPr="00864CB4">
        <w:rPr>
          <w:highlight w:val="yellow"/>
        </w:rPr>
        <w:t xml:space="preserve">Y lo que aprendimos a aceptar: </w:t>
      </w:r>
      <w:r w:rsidRPr="00864CB4">
        <w:rPr>
          <w:b/>
          <w:highlight w:val="yellow"/>
        </w:rPr>
        <w:t>un buen primer semestre no garantiza un buen segundo</w:t>
      </w:r>
      <w:r w:rsidRPr="00864CB4">
        <w:rPr>
          <w:highlight w:val="yellow"/>
        </w:rPr>
        <w:t>. Las dinámicas de H1 y H2 son distintas, y el grupo entero —One Click, Didacta, Academy— tiene que repensar prioridades para los próximos seis meses.</w:t>
      </w:r>
    </w:p>
    <w:p w14:paraId="6FCA448C" w14:textId="77777777" w:rsidR="0094234D" w:rsidRPr="00864CB4" w:rsidRDefault="00474349">
      <w:pPr>
        <w:rPr>
          <w:highlight w:val="yellow"/>
        </w:rPr>
      </w:pPr>
      <w:r w:rsidRPr="00864CB4">
        <w:rPr>
          <w:highlight w:val="yellow"/>
        </w:rPr>
        <w:t>Junio no es un mes de festejo. Es uno de honestidad operativa. Hacer balance sin maquillaje. Y arrancar julio con la cabeza puesta en lo que viene, no en lo que cerró.</w:t>
      </w:r>
    </w:p>
    <w:p w14:paraId="03BEBFB0" w14:textId="77777777" w:rsidR="0094234D" w:rsidRDefault="00474349">
      <w:r w:rsidRPr="00864CB4">
        <w:rPr>
          <w:i/>
          <w:highlight w:val="yellow"/>
        </w:rPr>
        <w:t>#HumanwareGroup #BalanceH1 #Estrategia #SoftwareVertical</w:t>
      </w:r>
    </w:p>
    <w:p w14:paraId="4A95780D" w14:textId="77777777" w:rsidR="0094234D" w:rsidRDefault="00474349">
      <w:pPr>
        <w:pStyle w:val="Ttulo1"/>
      </w:pPr>
      <w:bookmarkStart w:id="9" w:name="semana-2-8-al-11-de-junio"/>
      <w:r>
        <w:t>Semana 2 · 8 al 11 de junio</w:t>
      </w:r>
      <w:bookmarkEnd w:id="9"/>
    </w:p>
    <w:p w14:paraId="172C1AEA" w14:textId="77777777" w:rsidR="0094234D" w:rsidRPr="00864CB4" w:rsidRDefault="00474349">
      <w:pPr>
        <w:pStyle w:val="Ttulo2"/>
        <w:rPr>
          <w:lang w:val="en-US"/>
        </w:rPr>
      </w:pPr>
      <w:bookmarkStart w:id="10" w:name="post-4-one-click"/>
      <w:r w:rsidRPr="00864CB4">
        <w:rPr>
          <w:lang w:val="en-US"/>
        </w:rPr>
        <w:t>Post 4 · One Click</w:t>
      </w:r>
      <w:bookmarkEnd w:id="10"/>
    </w:p>
    <w:p w14:paraId="5F03AA47" w14:textId="77777777" w:rsidR="0094234D" w:rsidRPr="00864CB4" w:rsidRDefault="00474349">
      <w:pPr>
        <w:rPr>
          <w:lang w:val="en-US"/>
        </w:rPr>
      </w:pPr>
      <w:r w:rsidRPr="00864CB4">
        <w:rPr>
          <w:b/>
          <w:lang w:val="en-US"/>
        </w:rPr>
        <w:t>One Click</w:t>
      </w:r>
      <w:r w:rsidRPr="00864CB4">
        <w:rPr>
          <w:lang w:val="en-US"/>
        </w:rPr>
        <w:t xml:space="preserve"> · LinkedIn · Lunes 8/6 · </w:t>
      </w:r>
      <w:r w:rsidRPr="00864CB4">
        <w:rPr>
          <w:i/>
          <w:lang w:val="en-US"/>
        </w:rPr>
        <w:t>Balance H1 · SGRs</w:t>
      </w:r>
    </w:p>
    <w:p w14:paraId="2E6A073B" w14:textId="77777777" w:rsidR="0094234D" w:rsidRDefault="00474349">
      <w:r>
        <w:rPr>
          <w:b/>
        </w:rPr>
        <w:t>Lo que vimos en SGRs durante el primer semestre — y por qué importa</w:t>
      </w:r>
    </w:p>
    <w:p w14:paraId="049A7DAC" w14:textId="77777777" w:rsidR="0094234D" w:rsidRDefault="00474349">
      <w:r>
        <w:t>Mirando los datos de las SGRs que operan en One Click, hay un patrón claro en H1 2026 que merece llamar la atención.</w:t>
      </w:r>
    </w:p>
    <w:p w14:paraId="0787EBD6" w14:textId="77777777" w:rsidR="0094234D" w:rsidRDefault="00474349">
      <w:r>
        <w:rPr>
          <w:b/>
        </w:rPr>
        <w:t>El volumen de garantías otorgadas creció, pero no a la velocidad esperada.</w:t>
      </w:r>
      <w:r>
        <w:t xml:space="preserve"> En un contexto donde el crédito PyME sigue siendo escaso y caro, esa lentitud no es por falta de demanda. Es por capacidad operativa. Las SGRs están aprobando todo lo que pueden aprobar bien.</w:t>
      </w:r>
    </w:p>
    <w:p w14:paraId="1C16EACF" w14:textId="77777777" w:rsidR="0094234D" w:rsidRDefault="00474349">
      <w:r>
        <w:t>Tres observaciones que se desprenden de eso:</w:t>
      </w:r>
    </w:p>
    <w:p w14:paraId="6F8FC5F7" w14:textId="77777777" w:rsidR="0094234D" w:rsidRDefault="00474349">
      <w:r>
        <w:t xml:space="preserve">1. </w:t>
      </w:r>
      <w:r>
        <w:rPr>
          <w:b/>
        </w:rPr>
        <w:t>El tiempo promedio entre solicitud y aprobación bajó</w:t>
      </w:r>
      <w:r>
        <w:t xml:space="preserve"> en las SGRs que digitalizaron procesos en los últimos dos años. En las demás, subió. La brecha entre las que invirtieron temprano y las que no, ya no es teórica: es de semanas.</w:t>
      </w:r>
    </w:p>
    <w:p w14:paraId="4D3167D2" w14:textId="77777777" w:rsidR="0094234D" w:rsidRDefault="353A1CAD">
      <w:commentRangeStart w:id="11"/>
      <w:r>
        <w:lastRenderedPageBreak/>
        <w:t xml:space="preserve">2. </w:t>
      </w:r>
      <w:r w:rsidRPr="353A1CAD">
        <w:rPr>
          <w:b/>
          <w:bCs/>
        </w:rPr>
        <w:t>El régimen informativo se volvió un cuello de botella real</w:t>
      </w:r>
      <w:r>
        <w:t>. Las exigencias de la CNV y el BCRA aumentaron en frecuencia y granularidad. Las SGRs que dependen de armar reportes a mano ya no son competitivas: son auditadas y desmejoradas, en ese orden.</w:t>
      </w:r>
      <w:commentRangeEnd w:id="11"/>
      <w:r w:rsidR="00474349">
        <w:rPr>
          <w:rStyle w:val="Refdecomentario"/>
          <w:sz w:val="22"/>
          <w:szCs w:val="22"/>
        </w:rPr>
        <w:commentReference w:id="11"/>
      </w:r>
    </w:p>
    <w:p w14:paraId="72FE91AD" w14:textId="77777777" w:rsidR="0094234D" w:rsidRDefault="353A1CAD">
      <w:commentRangeStart w:id="12"/>
      <w:commentRangeStart w:id="13"/>
      <w:r>
        <w:t xml:space="preserve">3. </w:t>
      </w:r>
      <w:r w:rsidRPr="353A1CAD">
        <w:rPr>
          <w:b/>
          <w:bCs/>
        </w:rPr>
        <w:t>La gestión del riesgo se profesionalizó.</w:t>
      </w:r>
      <w:r>
        <w:t xml:space="preserve"> Cada vez vemos más SGRs incorporando lógicas de scoring propio, no para reemplazar el criterio humano sino para acelerar el primer filtro. Es una conversación que hace dos años no existía.</w:t>
      </w:r>
      <w:commentRangeEnd w:id="12"/>
      <w:r w:rsidR="00474349">
        <w:rPr>
          <w:rStyle w:val="Refdecomentario"/>
          <w:sz w:val="22"/>
          <w:szCs w:val="22"/>
        </w:rPr>
        <w:commentReference w:id="12"/>
      </w:r>
      <w:commentRangeEnd w:id="13"/>
      <w:r w:rsidR="00474349">
        <w:rPr>
          <w:rStyle w:val="Refdecomentario"/>
          <w:sz w:val="22"/>
          <w:szCs w:val="22"/>
        </w:rPr>
        <w:commentReference w:id="13"/>
      </w:r>
    </w:p>
    <w:p w14:paraId="28FBEF93" w14:textId="77777777" w:rsidR="0094234D" w:rsidRDefault="00474349">
      <w:r>
        <w:t>El semestre dejó una conclusión sencilla: en SGRs, la tecnología ya no es ventaja. Es condición. La pregunta dejó de ser “si invertir”, y pasó a ser “qué tan rápido”.</w:t>
      </w:r>
    </w:p>
    <w:p w14:paraId="00228BF6" w14:textId="77777777" w:rsidR="0094234D" w:rsidRPr="00864CB4" w:rsidRDefault="00474349">
      <w:pPr>
        <w:rPr>
          <w:lang w:val="en-US"/>
        </w:rPr>
      </w:pPr>
      <w:r w:rsidRPr="00864CB4">
        <w:rPr>
          <w:i/>
          <w:lang w:val="en-US"/>
        </w:rPr>
        <w:t>#SGR #CréditoPyME #Fintech #OneClick #H12026</w:t>
      </w:r>
    </w:p>
    <w:p w14:paraId="4CE7A7A6" w14:textId="77777777" w:rsidR="0094234D" w:rsidRPr="00864CB4" w:rsidRDefault="00474349">
      <w:pPr>
        <w:pStyle w:val="Ttulo2"/>
        <w:rPr>
          <w:lang w:val="en-US"/>
        </w:rPr>
      </w:pPr>
      <w:bookmarkStart w:id="14" w:name="post-5-didacta"/>
      <w:r w:rsidRPr="00864CB4">
        <w:rPr>
          <w:lang w:val="en-US"/>
        </w:rPr>
        <w:t>Post 5 · Didacta</w:t>
      </w:r>
      <w:bookmarkEnd w:id="14"/>
    </w:p>
    <w:p w14:paraId="3241E60C" w14:textId="77777777" w:rsidR="0094234D" w:rsidRDefault="00474349">
      <w:r>
        <w:rPr>
          <w:b/>
        </w:rPr>
        <w:t>Didacta</w:t>
      </w:r>
      <w:r>
        <w:t xml:space="preserve"> · LinkedIn · Martes 9/6 · </w:t>
      </w:r>
      <w:r>
        <w:rPr>
          <w:i/>
        </w:rPr>
        <w:t>Balance H1 · Universidades</w:t>
      </w:r>
    </w:p>
    <w:p w14:paraId="44E25AE8" w14:textId="77777777" w:rsidR="0094234D" w:rsidRDefault="00474349">
      <w:r>
        <w:rPr>
          <w:b/>
        </w:rPr>
        <w:t>El receso invernal: las cinco semanas en las que se gana o se pierde el año académico</w:t>
      </w:r>
    </w:p>
    <w:p w14:paraId="342A4DB3" w14:textId="77777777" w:rsidR="0094234D" w:rsidRDefault="00474349">
      <w:r>
        <w:t>A simple vista, el receso invernal de las universidades parece un paréntesis. Cinco semanas sin clases. La realidad operativa es la opuesta: es la ventana más densa del año para tomar decisiones que van a marcar agosto a diciembre.</w:t>
      </w:r>
    </w:p>
    <w:p w14:paraId="0F6CD63B" w14:textId="77777777" w:rsidR="0094234D" w:rsidRDefault="00474349">
      <w:r>
        <w:t>Lo que pasa en esas cinco semanas en una universidad que se está mirando bien:</w:t>
      </w:r>
    </w:p>
    <w:p w14:paraId="1ED98A5E" w14:textId="77777777" w:rsidR="0094234D" w:rsidRDefault="00474349">
      <w:pPr>
        <w:numPr>
          <w:ilvl w:val="0"/>
          <w:numId w:val="5"/>
        </w:numPr>
      </w:pPr>
      <w:r>
        <w:rPr>
          <w:b/>
        </w:rPr>
        <w:t>Cierre administrativo real</w:t>
      </w:r>
      <w:r>
        <w:t xml:space="preserve"> del primer cuatrimestre. No solo notas: liquidaciones, conciliaciones, ajustes de carga horaria.</w:t>
      </w:r>
    </w:p>
    <w:p w14:paraId="1AC40D58" w14:textId="77777777" w:rsidR="0094234D" w:rsidRDefault="00474349">
      <w:pPr>
        <w:numPr>
          <w:ilvl w:val="0"/>
          <w:numId w:val="5"/>
        </w:numPr>
      </w:pPr>
      <w:r>
        <w:rPr>
          <w:b/>
        </w:rPr>
        <w:t>Decisiones de oferta académica</w:t>
      </w:r>
      <w:r>
        <w:t xml:space="preserve"> para el segundo cuatrimestre. Qué se abre, qué se cierra, qué se reformula.</w:t>
      </w:r>
    </w:p>
    <w:p w14:paraId="21A0D027" w14:textId="77777777" w:rsidR="0094234D" w:rsidRDefault="00474349">
      <w:pPr>
        <w:numPr>
          <w:ilvl w:val="0"/>
          <w:numId w:val="5"/>
        </w:numPr>
      </w:pPr>
      <w:r>
        <w:rPr>
          <w:b/>
        </w:rPr>
        <w:t>Reasignación de planta docente.</w:t>
      </w:r>
      <w:r>
        <w:t xml:space="preserve"> Quién sigue, quién cambia, quién entra. La mayor parte del año se decide acá.</w:t>
      </w:r>
    </w:p>
    <w:p w14:paraId="31E7C851" w14:textId="77777777" w:rsidR="0094234D" w:rsidRDefault="00474349">
      <w:pPr>
        <w:numPr>
          <w:ilvl w:val="0"/>
          <w:numId w:val="5"/>
        </w:numPr>
      </w:pPr>
      <w:r>
        <w:rPr>
          <w:b/>
        </w:rPr>
        <w:t>Replanificación presupuestaria.</w:t>
      </w:r>
      <w:r>
        <w:t xml:space="preserve"> Lo que no se cumplió en H1 hay que recuperarlo, redistribuirlo o asumir el desvío.</w:t>
      </w:r>
    </w:p>
    <w:p w14:paraId="6225F4E7" w14:textId="77777777" w:rsidR="0094234D" w:rsidRDefault="00474349">
      <w:pPr>
        <w:numPr>
          <w:ilvl w:val="0"/>
          <w:numId w:val="5"/>
        </w:numPr>
      </w:pPr>
      <w:r>
        <w:rPr>
          <w:b/>
        </w:rPr>
        <w:t>Implementaciones tecnológicas.</w:t>
      </w:r>
      <w:r>
        <w:t xml:space="preserve"> Casi todo lo que arranca a usarse en agosto, se configura en julio.</w:t>
      </w:r>
    </w:p>
    <w:p w14:paraId="2E328B9A" w14:textId="77777777" w:rsidR="0094234D" w:rsidRDefault="00474349">
      <w:r>
        <w:t>Las instituciones que llegan al receso sin sus datos en orden, lo viven como una emergencia. Las que llegan con backoffice digital, lo viven como una ventana de planificación.</w:t>
      </w:r>
    </w:p>
    <w:p w14:paraId="4A7BDA5A" w14:textId="77777777" w:rsidR="0094234D" w:rsidRDefault="00474349">
      <w:r>
        <w:t>La diferencia se nota en agosto.</w:t>
      </w:r>
    </w:p>
    <w:p w14:paraId="79E2B5EA" w14:textId="77777777" w:rsidR="0094234D" w:rsidRDefault="00474349">
      <w:r>
        <w:rPr>
          <w:i/>
        </w:rPr>
        <w:t>#GestiónUniversitaria #EducaciónSuperior #Didacta #PlanificaciónAcadémica</w:t>
      </w:r>
    </w:p>
    <w:p w14:paraId="7F3B1A4D" w14:textId="77777777" w:rsidR="0094234D" w:rsidRDefault="00474349">
      <w:pPr>
        <w:pStyle w:val="Ttulo2"/>
      </w:pPr>
      <w:bookmarkStart w:id="15" w:name="post-6-humanware-academy"/>
      <w:r>
        <w:t>Post 6 · Humanware Academy</w:t>
      </w:r>
      <w:bookmarkEnd w:id="15"/>
    </w:p>
    <w:p w14:paraId="75E63198" w14:textId="77777777" w:rsidR="0094234D" w:rsidRPr="00864CB4" w:rsidRDefault="00474349">
      <w:pPr>
        <w:rPr>
          <w:lang w:val="en-US"/>
        </w:rPr>
      </w:pPr>
      <w:r w:rsidRPr="00864CB4">
        <w:rPr>
          <w:b/>
          <w:lang w:val="en-US"/>
        </w:rPr>
        <w:t>Humanware Academy</w:t>
      </w:r>
      <w:r w:rsidRPr="00864CB4">
        <w:rPr>
          <w:lang w:val="en-US"/>
        </w:rPr>
        <w:t xml:space="preserve"> · — · Miércoles 10/6 · </w:t>
      </w:r>
      <w:r w:rsidRPr="00864CB4">
        <w:rPr>
          <w:i/>
          <w:lang w:val="en-US"/>
        </w:rPr>
        <w:t>Posteo Academy</w:t>
      </w:r>
    </w:p>
    <w:p w14:paraId="521CD8FD" w14:textId="77777777" w:rsidR="0094234D" w:rsidRPr="00864CB4" w:rsidRDefault="00474349">
      <w:pPr>
        <w:pStyle w:val="Ttulo2"/>
        <w:rPr>
          <w:lang w:val="en-US"/>
        </w:rPr>
      </w:pPr>
      <w:bookmarkStart w:id="16" w:name="post-7-humanware-group"/>
      <w:r w:rsidRPr="00864CB4">
        <w:rPr>
          <w:lang w:val="en-US"/>
        </w:rPr>
        <w:t>Post 7 · Humanware Group</w:t>
      </w:r>
      <w:bookmarkEnd w:id="16"/>
    </w:p>
    <w:p w14:paraId="7FAC617B" w14:textId="77777777" w:rsidR="0094234D" w:rsidRDefault="00474349">
      <w:r>
        <w:rPr>
          <w:b/>
        </w:rPr>
        <w:t>Humanware Group</w:t>
      </w:r>
      <w:r>
        <w:t xml:space="preserve"> · LinkedIn · Jueves 11/6 · </w:t>
      </w:r>
      <w:r>
        <w:rPr>
          <w:i/>
        </w:rPr>
        <w:t>Agenda H2 · Las tres cosas que vamos a mirar</w:t>
      </w:r>
    </w:p>
    <w:p w14:paraId="3ADF10AC" w14:textId="77777777" w:rsidR="0094234D" w:rsidRDefault="00474349">
      <w:r>
        <w:rPr>
          <w:b/>
        </w:rPr>
        <w:t>Tres cosas que vamos a mirar en el segundo semestre</w:t>
      </w:r>
    </w:p>
    <w:p w14:paraId="2EB35F44" w14:textId="77777777" w:rsidR="0094234D" w:rsidRDefault="00474349">
      <w:r>
        <w:t>Si el primer semestre fue de revalidar hipótesis, el segundo va a ser de exigirles. Compartimos en abierto las tres cosas que nos vamos a estar haciendo dentro del grupo.</w:t>
      </w:r>
    </w:p>
    <w:p w14:paraId="0FF73553" w14:textId="77777777" w:rsidR="0094234D" w:rsidRDefault="00474349">
      <w:r>
        <w:rPr>
          <w:b/>
        </w:rPr>
        <w:t>1. ¿Cuánto del crecimiento que tuvimos en H1 es repetible?</w:t>
      </w:r>
      <w:r>
        <w:t xml:space="preserve"> Es la pregunta más incómoda. Algunas de las cuentas que ganamos llegaron por dinámicas particulares —cambios regulatorios, recambios de gestión interna en el cliente, timing. Saber cuánto fue producto del trabajo estructural y cuánto del momento, es la diferencia entre escalar y celebrar.</w:t>
      </w:r>
    </w:p>
    <w:p w14:paraId="76339E9A" w14:textId="77777777" w:rsidR="0094234D" w:rsidRDefault="00474349">
      <w:r>
        <w:rPr>
          <w:b/>
        </w:rPr>
        <w:t>2. ¿Estamos invirtiendo lo suficiente en lo que no se ve?</w:t>
      </w:r>
      <w:r>
        <w:t xml:space="preserve"> Procesos internos, formación, documentación, calidad. Son los renglones que pierden todas las priorizaciones cuando el calendario aprieta. Pero son los que sostienen los siguientes diez años. H2 nos toca defenderlos.</w:t>
      </w:r>
    </w:p>
    <w:p w14:paraId="0B5EB763" w14:textId="77777777" w:rsidR="0094234D" w:rsidRDefault="00474349">
      <w:r>
        <w:rPr>
          <w:b/>
        </w:rPr>
        <w:lastRenderedPageBreak/>
        <w:t>3. ¿Cómo se ve un buen H2 en cada una de nuestras unidades?</w:t>
      </w:r>
      <w:r>
        <w:t xml:space="preserve"> One Click, Didacta, Academy y consultoría tienen ciclos, lógicas y métricas distintas. No alcanza con un objetivo de grupo: necesitamos un buen H2 vertical por vertical, no un promedio.</w:t>
      </w:r>
    </w:p>
    <w:p w14:paraId="16A8345F" w14:textId="77777777" w:rsidR="0094234D" w:rsidRDefault="00474349">
      <w:r>
        <w:t>Compartimos esto en abierto porque creemos que las preguntas que se hacen las empresas — y no las certezas que afirman — son lo que mejor describe en qué estadio están. Las certezas envejecen rápido. Las preguntas honestas, no tanto.</w:t>
      </w:r>
    </w:p>
    <w:p w14:paraId="214E749C" w14:textId="77777777" w:rsidR="0094234D" w:rsidRDefault="00474349">
      <w:r>
        <w:rPr>
          <w:i/>
        </w:rPr>
        <w:t>#HumanwareGroup #Estrategia #H22026 #Liderazgo</w:t>
      </w:r>
    </w:p>
    <w:p w14:paraId="4128351D" w14:textId="77777777" w:rsidR="0094234D" w:rsidRDefault="00474349">
      <w:pPr>
        <w:pStyle w:val="Ttulo1"/>
      </w:pPr>
      <w:bookmarkStart w:id="17" w:name="semana-3-15-al-18-de-junio"/>
      <w:r>
        <w:t>Semana 3 · 15 al 18 de junio</w:t>
      </w:r>
      <w:bookmarkEnd w:id="17"/>
    </w:p>
    <w:p w14:paraId="5693E951" w14:textId="77777777" w:rsidR="0094234D" w:rsidRDefault="00474349">
      <w:pPr>
        <w:pStyle w:val="Ttulo2"/>
      </w:pPr>
      <w:bookmarkStart w:id="18" w:name="post-8-one-click"/>
      <w:r>
        <w:t>Post 8 · One Click</w:t>
      </w:r>
      <w:bookmarkEnd w:id="18"/>
    </w:p>
    <w:p w14:paraId="7F434737" w14:textId="77777777" w:rsidR="0094234D" w:rsidRPr="00864CB4" w:rsidRDefault="00474349">
      <w:pPr>
        <w:rPr>
          <w:lang w:val="en-US"/>
        </w:rPr>
      </w:pPr>
      <w:r w:rsidRPr="00864CB4">
        <w:rPr>
          <w:b/>
          <w:lang w:val="en-US"/>
        </w:rPr>
        <w:t>One Click</w:t>
      </w:r>
      <w:r w:rsidRPr="00864CB4">
        <w:rPr>
          <w:lang w:val="en-US"/>
        </w:rPr>
        <w:t xml:space="preserve"> · LinkedIn · Lunes 15/6 · </w:t>
      </w:r>
      <w:r w:rsidRPr="00864CB4">
        <w:rPr>
          <w:i/>
          <w:lang w:val="en-US"/>
        </w:rPr>
        <w:t>Balance H1 · FCIs</w:t>
      </w:r>
    </w:p>
    <w:p w14:paraId="6D1EB9D0" w14:textId="77777777" w:rsidR="0094234D" w:rsidRDefault="00474349">
      <w:r>
        <w:rPr>
          <w:b/>
        </w:rPr>
        <w:t>Los FCIs y el ruido detrás de la cuotaparte tranquila</w:t>
      </w:r>
    </w:p>
    <w:p w14:paraId="5AD0956C" w14:textId="77777777" w:rsidR="0094234D" w:rsidRDefault="00474349">
      <w:r>
        <w:t>En los Fondos Comunes de Inversión, cuando todo funciona bien, no se nota. La cuotaparte se valúa todos los días, la rentabilidad se acredita puntual, los reportes se mandan. Silencio operativo.</w:t>
      </w:r>
    </w:p>
    <w:p w14:paraId="579EED7A" w14:textId="77777777" w:rsidR="0094234D" w:rsidRDefault="00474349">
      <w:r>
        <w:t>Pero el silencio engaña.</w:t>
      </w:r>
    </w:p>
    <w:p w14:paraId="125F49F3" w14:textId="77777777" w:rsidR="0094234D" w:rsidRDefault="353A1CAD">
      <w:commentRangeStart w:id="19"/>
      <w:r>
        <w:t>En H1 vimos en las administradoras que operan en One Click una serie de fenómenos que merecen atención:</w:t>
      </w:r>
      <w:commentRangeEnd w:id="19"/>
      <w:r w:rsidR="00474349">
        <w:rPr>
          <w:rStyle w:val="Refdecomentario"/>
          <w:sz w:val="22"/>
          <w:szCs w:val="22"/>
        </w:rPr>
        <w:commentReference w:id="19"/>
      </w:r>
    </w:p>
    <w:p w14:paraId="1A358399" w14:textId="77777777" w:rsidR="0094234D" w:rsidRDefault="00474349">
      <w:r>
        <w:t xml:space="preserve">— </w:t>
      </w:r>
      <w:r>
        <w:rPr>
          <w:b/>
        </w:rPr>
        <w:t>Las suscripciones y rescates están más concentrados en menos cuotapartistas grandes.</w:t>
      </w:r>
      <w:r>
        <w:t xml:space="preserve"> El movimiento minorista bajó. El mayorista subió en peso. Eso cambia el perfil de liquidez del fondo, aunque el TIR diga lo mismo.</w:t>
      </w:r>
    </w:p>
    <w:p w14:paraId="19547624" w14:textId="77777777" w:rsidR="0094234D" w:rsidRDefault="00474349">
      <w:r>
        <w:t xml:space="preserve">— </w:t>
      </w:r>
      <w:r>
        <w:rPr>
          <w:b/>
        </w:rPr>
        <w:t>La operatoria de pase entre fondos creció</w:t>
      </w:r>
      <w:r>
        <w:t xml:space="preserve"> en sociedades que ofrecen varios productos. Los cuotapartistas están moviendo plata más rápido. La fricción operativa de mover entre fondos hoy es un diferencial competitivo.</w:t>
      </w:r>
    </w:p>
    <w:p w14:paraId="564FC637" w14:textId="77777777" w:rsidR="0094234D" w:rsidRDefault="353A1CAD">
      <w:commentRangeStart w:id="20"/>
      <w:r>
        <w:t xml:space="preserve">— </w:t>
      </w:r>
      <w:r w:rsidRPr="353A1CAD">
        <w:rPr>
          <w:b/>
          <w:bCs/>
        </w:rPr>
        <w:t>La CNV está pidiendo más datos, más rápido y más estructurados.</w:t>
      </w:r>
      <w:r>
        <w:t xml:space="preserve"> Lo que hace dos años era reporte trimestral, hoy es diario. Lo que era anual, hoy es trimestral. Si tu valuación depende de un Excel cargado a mano, ya estás corriendo de atrás.</w:t>
      </w:r>
      <w:commentRangeEnd w:id="20"/>
      <w:r w:rsidR="00474349">
        <w:rPr>
          <w:rStyle w:val="Refdecomentario"/>
          <w:sz w:val="22"/>
          <w:szCs w:val="22"/>
        </w:rPr>
        <w:commentReference w:id="20"/>
      </w:r>
    </w:p>
    <w:p w14:paraId="12FBF7E4" w14:textId="77777777" w:rsidR="0094234D" w:rsidRDefault="00474349">
      <w:r>
        <w:t>La conclusión que dejó el semestre: en FCIs, la operatoria silenciosa requiere infraestructura ruidosa por detrás. No hay forma de mantener la calma frontal sin tener motores corriendo finos.</w:t>
      </w:r>
    </w:p>
    <w:p w14:paraId="4E56A901" w14:textId="77777777" w:rsidR="0094234D" w:rsidRDefault="00474349">
      <w:r>
        <w:t>Las administradoras que entendieron esto temprano están serenas. Las demás, no.</w:t>
      </w:r>
    </w:p>
    <w:p w14:paraId="0F4FC90F" w14:textId="77777777" w:rsidR="0094234D" w:rsidRDefault="00474349">
      <w:r>
        <w:rPr>
          <w:i/>
        </w:rPr>
        <w:t>#FCI #CNV #Fintech #OneClick #GestiónDeActivos</w:t>
      </w:r>
    </w:p>
    <w:p w14:paraId="1E2350E4" w14:textId="77777777" w:rsidR="0094234D" w:rsidRDefault="00474349">
      <w:pPr>
        <w:pStyle w:val="Ttulo2"/>
      </w:pPr>
      <w:bookmarkStart w:id="21" w:name="post-9-didacta"/>
      <w:r>
        <w:t>Post 9 · Didacta</w:t>
      </w:r>
      <w:bookmarkEnd w:id="21"/>
    </w:p>
    <w:p w14:paraId="171B76DC" w14:textId="77777777" w:rsidR="0094234D" w:rsidRDefault="00474349">
      <w:r>
        <w:rPr>
          <w:b/>
        </w:rPr>
        <w:t>Didacta</w:t>
      </w:r>
      <w:r>
        <w:t xml:space="preserve"> · LinkedIn · Martes 16/6 · </w:t>
      </w:r>
      <w:r>
        <w:rPr>
          <w:i/>
        </w:rPr>
        <w:t>Balance H1 · Aranceles y modelo de negocio</w:t>
      </w:r>
    </w:p>
    <w:p w14:paraId="7A674C9F" w14:textId="77777777" w:rsidR="0094234D" w:rsidRDefault="00474349">
      <w:r>
        <w:rPr>
          <w:b/>
        </w:rPr>
        <w:t>Aranceles, inflación, regulación: el triángulo que ningún rector quiere armar solo</w:t>
      </w:r>
    </w:p>
    <w:p w14:paraId="3EA667EF" w14:textId="77777777" w:rsidR="0094234D" w:rsidRDefault="00474349">
      <w:r>
        <w:t>En el sector universitario privado argentino, hay un triángulo de presiones que en H1 se sintió como nunca:</w:t>
      </w:r>
    </w:p>
    <w:p w14:paraId="24702876" w14:textId="77777777" w:rsidR="0094234D" w:rsidRDefault="00474349">
      <w:pPr>
        <w:numPr>
          <w:ilvl w:val="0"/>
          <w:numId w:val="6"/>
        </w:numPr>
      </w:pPr>
      <w:r>
        <w:rPr>
          <w:b/>
        </w:rPr>
        <w:t>Aranceles</w:t>
      </w:r>
      <w:r>
        <w:t xml:space="preserve"> que tienen que cubrir costos crecientes sin perder matrícula.</w:t>
      </w:r>
    </w:p>
    <w:p w14:paraId="396482C3" w14:textId="77777777" w:rsidR="0094234D" w:rsidRDefault="00474349">
      <w:pPr>
        <w:numPr>
          <w:ilvl w:val="0"/>
          <w:numId w:val="6"/>
        </w:numPr>
      </w:pPr>
      <w:r>
        <w:rPr>
          <w:b/>
        </w:rPr>
        <w:t>Inflación</w:t>
      </w:r>
      <w:r>
        <w:t xml:space="preserve"> que erosiona márgenes y dificulta proyectar.</w:t>
      </w:r>
    </w:p>
    <w:p w14:paraId="63388582" w14:textId="77777777" w:rsidR="0094234D" w:rsidRDefault="00474349">
      <w:pPr>
        <w:numPr>
          <w:ilvl w:val="0"/>
          <w:numId w:val="6"/>
        </w:numPr>
      </w:pPr>
      <w:r>
        <w:rPr>
          <w:b/>
        </w:rPr>
        <w:t>Regulación</w:t>
      </w:r>
      <w:r>
        <w:t xml:space="preserve"> que cambia más rápido que los modelos académicos.</w:t>
      </w:r>
    </w:p>
    <w:p w14:paraId="7A971771" w14:textId="77777777" w:rsidR="0094234D" w:rsidRDefault="00474349">
      <w:r>
        <w:t>Cada vértice empuja en una dirección distinta. Subir aranceles puede cubrir la inflación pero expone a perder alumnos. Mantenerlos sostiene la matrícula pero asfixia financieramente. Ajustar la oferta para reducir costos puede chocar con regulación sobre carreras de grado.</w:t>
      </w:r>
    </w:p>
    <w:p w14:paraId="5DB37D44" w14:textId="77777777" w:rsidR="0094234D" w:rsidRDefault="00474349">
      <w:r>
        <w:t>Lo que vimos en H1, y que merece mirar de cerca:</w:t>
      </w:r>
    </w:p>
    <w:p w14:paraId="777C8D0A" w14:textId="77777777" w:rsidR="0094234D" w:rsidRDefault="00474349">
      <w:r>
        <w:t xml:space="preserve">Las instituciones que sostuvieron mejor el equilibrio no son las más grandes ni las más caras. Son las que tienen </w:t>
      </w:r>
      <w:r>
        <w:rPr>
          <w:b/>
        </w:rPr>
        <w:t>mejor información operativa</w:t>
      </w:r>
      <w:r>
        <w:t xml:space="preserve">. Saben con precisión cuánto cuesta cada carrera, cuánto pesa cada </w:t>
      </w:r>
      <w:r>
        <w:lastRenderedPageBreak/>
        <w:t>cohorte, cuál es la tasa de cobranza real (no la nominal), y cuánto les cuesta perder un alumno versus recuperarlo.</w:t>
      </w:r>
    </w:p>
    <w:p w14:paraId="063C25EC" w14:textId="77777777" w:rsidR="0094234D" w:rsidRDefault="00474349">
      <w:r>
        <w:t>Eso no se construye con un balance trimestral. Se construye con sistemas que registran todo de forma continua y permiten cortar la información por las dimensiones que importan.</w:t>
      </w:r>
    </w:p>
    <w:p w14:paraId="382627C0" w14:textId="77777777" w:rsidR="0094234D" w:rsidRDefault="00474349">
      <w:r>
        <w:t>En H1 quedó claro: las universidades que llegan al final del año con margen para invertir, son las que entraron al año con datos para decidir.</w:t>
      </w:r>
    </w:p>
    <w:p w14:paraId="08B3243B" w14:textId="77777777" w:rsidR="0094234D" w:rsidRDefault="00474349">
      <w:r>
        <w:rPr>
          <w:i/>
        </w:rPr>
        <w:t>#GestiónEducativa #EducaciónSuperior #Didacta #ModeloDeNegocio</w:t>
      </w:r>
    </w:p>
    <w:p w14:paraId="7973EDF5" w14:textId="77777777" w:rsidR="0094234D" w:rsidRDefault="00474349">
      <w:pPr>
        <w:pStyle w:val="Ttulo2"/>
      </w:pPr>
      <w:bookmarkStart w:id="22" w:name="post-10-humanware-academy"/>
      <w:r>
        <w:t>Post 10 · Humanware Academy</w:t>
      </w:r>
      <w:bookmarkEnd w:id="22"/>
    </w:p>
    <w:p w14:paraId="12D84E01" w14:textId="77777777" w:rsidR="0094234D" w:rsidRPr="00864CB4" w:rsidRDefault="00474349">
      <w:pPr>
        <w:rPr>
          <w:lang w:val="en-US"/>
        </w:rPr>
      </w:pPr>
      <w:r w:rsidRPr="00864CB4">
        <w:rPr>
          <w:b/>
          <w:lang w:val="en-US"/>
        </w:rPr>
        <w:t>Humanware Academy</w:t>
      </w:r>
      <w:r w:rsidRPr="00864CB4">
        <w:rPr>
          <w:lang w:val="en-US"/>
        </w:rPr>
        <w:t xml:space="preserve"> · — · Miércoles 17/6 · </w:t>
      </w:r>
      <w:r w:rsidRPr="00864CB4">
        <w:rPr>
          <w:i/>
          <w:lang w:val="en-US"/>
        </w:rPr>
        <w:t>Posteo Academy</w:t>
      </w:r>
    </w:p>
    <w:p w14:paraId="07E46A7C" w14:textId="77777777" w:rsidR="0094234D" w:rsidRPr="00864CB4" w:rsidRDefault="00474349">
      <w:pPr>
        <w:pStyle w:val="Ttulo2"/>
        <w:rPr>
          <w:lang w:val="en-US"/>
        </w:rPr>
      </w:pPr>
      <w:bookmarkStart w:id="23" w:name="post-11-humanware-group"/>
      <w:r w:rsidRPr="00864CB4">
        <w:rPr>
          <w:lang w:val="en-US"/>
        </w:rPr>
        <w:t>Post 11 · Humanware Group</w:t>
      </w:r>
      <w:bookmarkEnd w:id="23"/>
    </w:p>
    <w:p w14:paraId="2A649CDB" w14:textId="77777777" w:rsidR="0094234D" w:rsidRDefault="00474349">
      <w:r>
        <w:rPr>
          <w:b/>
        </w:rPr>
        <w:t>Humanware Group</w:t>
      </w:r>
      <w:r>
        <w:t xml:space="preserve"> · LinkedIn · Jueves 18/6 · </w:t>
      </w:r>
      <w:r>
        <w:rPr>
          <w:i/>
        </w:rPr>
        <w:t>Reflexión · Largo plazo</w:t>
      </w:r>
    </w:p>
    <w:p w14:paraId="29D9B2ED" w14:textId="77777777" w:rsidR="0094234D" w:rsidRDefault="00474349">
      <w:r>
        <w:rPr>
          <w:b/>
        </w:rPr>
        <w:t>El tipo de partner que vas a querer haber tenido dentro de cinco años</w:t>
      </w:r>
    </w:p>
    <w:p w14:paraId="679E20DC" w14:textId="77777777" w:rsidR="0094234D" w:rsidRDefault="00474349">
      <w:r>
        <w:t>Una conversación de pasillo que tuvimos esta semana, y que vale traducir.</w:t>
      </w:r>
    </w:p>
    <w:p w14:paraId="5532EF16" w14:textId="77777777" w:rsidR="0094234D" w:rsidRDefault="00474349">
      <w:r>
        <w:t>Pregunta: ¿qué hace que una relación entre cliente y proveedor de software dure diez años?</w:t>
      </w:r>
    </w:p>
    <w:p w14:paraId="650D28A1" w14:textId="77777777" w:rsidR="0094234D" w:rsidRDefault="00474349">
      <w:r>
        <w:t>Respuesta convencional: producto sólido, soporte rápido, precio razonable. Las tres cosas son ciertas. Y las tres son insuficientes.</w:t>
      </w:r>
    </w:p>
    <w:p w14:paraId="37049BA6" w14:textId="77777777" w:rsidR="0094234D" w:rsidRDefault="00474349">
      <w:r>
        <w:t xml:space="preserve">Lo que vemos en las relaciones que efectivamente duran diez años (y tenemos varias) es algo más raro: </w:t>
      </w:r>
      <w:r>
        <w:rPr>
          <w:b/>
        </w:rPr>
        <w:t>el partner pudo decir que no en momentos importantes</w:t>
      </w:r>
      <w:r>
        <w:t>. No “no” como negativa comercial. “No” como criterio profesional.</w:t>
      </w:r>
    </w:p>
    <w:p w14:paraId="6CE65732" w14:textId="77777777" w:rsidR="0094234D" w:rsidRDefault="00474349">
      <w:r>
        <w:t>“No le agreguemos eso, no es lo que necesitás.”</w:t>
      </w:r>
    </w:p>
    <w:p w14:paraId="39E1EDA2" w14:textId="77777777" w:rsidR="0094234D" w:rsidRDefault="00474349">
      <w:r>
        <w:t>“No vamos a vender la implementación todavía, primero ordenemos esto.”</w:t>
      </w:r>
    </w:p>
    <w:p w14:paraId="1190E61B" w14:textId="77777777" w:rsidR="0094234D" w:rsidRDefault="00474349">
      <w:r>
        <w:t>“No es el momento — esto se hace mejor el año que viene.”</w:t>
      </w:r>
    </w:p>
    <w:p w14:paraId="7FD27195" w14:textId="77777777" w:rsidR="0094234D" w:rsidRDefault="00474349">
      <w:r>
        <w:t>Cada uno de esos “no” parece, en el momento, una venta perdida. Visto a diez años, son los que sostienen la relación.</w:t>
      </w:r>
    </w:p>
    <w:p w14:paraId="4A308144" w14:textId="77777777" w:rsidR="0094234D" w:rsidRDefault="00474349">
      <w:r>
        <w:t>La industria del software valora mucho la velocidad y la cantidad. Tiene razón en muchas cosas. Pero subestima un valor sutil: el del partner que prefiere quedarse afuera de algunas decisiones, porque sabe que su rol no es decir que sí a todo.</w:t>
      </w:r>
    </w:p>
    <w:p w14:paraId="3BF9D986" w14:textId="77777777" w:rsidR="0094234D" w:rsidRDefault="00474349">
      <w:r>
        <w:t>Si estás pensando con quién querés trabajar para los próximos cinco años, una buena pregunta es: ¿este partner es capaz de decir no cuando corresponde, o me va a vender todo lo que le pida?</w:t>
      </w:r>
    </w:p>
    <w:p w14:paraId="023E2984" w14:textId="77777777" w:rsidR="0094234D" w:rsidRDefault="00474349">
      <w:r>
        <w:rPr>
          <w:i/>
        </w:rPr>
        <w:t>#HumanwareGroup #B2B #PartnerTecnológico #RelacionesDeLargoPlazo</w:t>
      </w:r>
    </w:p>
    <w:p w14:paraId="3D8871CC" w14:textId="77777777" w:rsidR="0094234D" w:rsidRDefault="00474349">
      <w:pPr>
        <w:pStyle w:val="Ttulo1"/>
      </w:pPr>
      <w:bookmarkStart w:id="24" w:name="semana-4-22-al-25-de-junio"/>
      <w:r>
        <w:t>Semana 4 · 22 al 25 de junio</w:t>
      </w:r>
      <w:bookmarkEnd w:id="24"/>
    </w:p>
    <w:p w14:paraId="4A6A6E57" w14:textId="77777777" w:rsidR="0094234D" w:rsidRPr="00864CB4" w:rsidRDefault="00474349">
      <w:pPr>
        <w:pStyle w:val="Ttulo2"/>
        <w:rPr>
          <w:lang w:val="en-US"/>
        </w:rPr>
      </w:pPr>
      <w:bookmarkStart w:id="25" w:name="post-12-one-click"/>
      <w:r w:rsidRPr="00864CB4">
        <w:rPr>
          <w:lang w:val="en-US"/>
        </w:rPr>
        <w:t>Post 12 · One Click</w:t>
      </w:r>
      <w:bookmarkEnd w:id="25"/>
    </w:p>
    <w:p w14:paraId="651BF149" w14:textId="77777777" w:rsidR="0094234D" w:rsidRPr="00864CB4" w:rsidRDefault="00474349">
      <w:pPr>
        <w:rPr>
          <w:lang w:val="en-US"/>
        </w:rPr>
      </w:pPr>
      <w:r w:rsidRPr="00864CB4">
        <w:rPr>
          <w:b/>
          <w:lang w:val="en-US"/>
        </w:rPr>
        <w:t>One Click</w:t>
      </w:r>
      <w:r w:rsidRPr="00864CB4">
        <w:rPr>
          <w:lang w:val="en-US"/>
        </w:rPr>
        <w:t xml:space="preserve"> · LinkedIn · Lunes 22/6 · </w:t>
      </w:r>
      <w:r w:rsidRPr="00864CB4">
        <w:rPr>
          <w:i/>
          <w:lang w:val="en-US"/>
        </w:rPr>
        <w:t>Agenda H2 · Sector financiero</w:t>
      </w:r>
    </w:p>
    <w:p w14:paraId="39E5E528" w14:textId="77777777" w:rsidR="0094234D" w:rsidRDefault="00474349">
      <w:r>
        <w:rPr>
          <w:b/>
        </w:rPr>
        <w:t>Tres cosas que el sector financiero va a tener que resolver en H2</w:t>
      </w:r>
    </w:p>
    <w:p w14:paraId="3577100D" w14:textId="77777777" w:rsidR="0094234D" w:rsidRDefault="00474349">
      <w:r>
        <w:t>Compartimos lo que estamos viendo desde adentro, sin pretender exhaustividad. Tres tensiones que el sector tiene que enfrentar antes de fin de año.</w:t>
      </w:r>
    </w:p>
    <w:p w14:paraId="424D4E8F" w14:textId="77777777" w:rsidR="0094234D" w:rsidRDefault="353A1CAD">
      <w:r w:rsidRPr="353A1CAD">
        <w:rPr>
          <w:b/>
          <w:bCs/>
        </w:rPr>
        <w:t xml:space="preserve">1. </w:t>
      </w:r>
      <w:commentRangeStart w:id="26"/>
      <w:commentRangeStart w:id="27"/>
      <w:r w:rsidRPr="353A1CAD">
        <w:rPr>
          <w:b/>
          <w:bCs/>
        </w:rPr>
        <w:t>Compatibilizar la velocidad regulatoria con la capacidad operativa.</w:t>
      </w:r>
      <w:r>
        <w:t xml:space="preserve"> Las exigencias de información están creciendo más rápido que los equipos. Las SGRs y administradoras de FCIs que no automaticen en H2 van a llegar a 2027 muy expuestas. No es opinión: es aritmética.</w:t>
      </w:r>
      <w:commentRangeEnd w:id="26"/>
      <w:r w:rsidR="00474349">
        <w:rPr>
          <w:rStyle w:val="Refdecomentario"/>
          <w:sz w:val="22"/>
          <w:szCs w:val="22"/>
        </w:rPr>
        <w:commentReference w:id="26"/>
      </w:r>
      <w:commentRangeEnd w:id="27"/>
      <w:r w:rsidR="00474349">
        <w:rPr>
          <w:rStyle w:val="Refdecomentario"/>
          <w:sz w:val="22"/>
          <w:szCs w:val="22"/>
        </w:rPr>
        <w:commentReference w:id="27"/>
      </w:r>
    </w:p>
    <w:p w14:paraId="6411F88F" w14:textId="77777777" w:rsidR="0094234D" w:rsidRDefault="00474349">
      <w:r>
        <w:rPr>
          <w:b/>
        </w:rPr>
        <w:t>2. Definir la relación con la banca abierta y la integración a APIs.</w:t>
      </w:r>
      <w:r>
        <w:t xml:space="preserve"> Los bancos están abriendo, las fintechs están conectándose, y el ecosistema PyME — al que las SGRs sirven directamente — empieza a </w:t>
      </w:r>
      <w:r>
        <w:lastRenderedPageBreak/>
        <w:t>esperar respuestas más rápidas. El sector que no esté técnicamente listo va a perder relevancia frente a alternativas más ágiles.</w:t>
      </w:r>
    </w:p>
    <w:p w14:paraId="79CEC321" w14:textId="77777777" w:rsidR="0094234D" w:rsidRDefault="00474349">
      <w:r>
        <w:rPr>
          <w:b/>
        </w:rPr>
        <w:t>3. Profesionalizar la mirada de riesgo.</w:t>
      </w:r>
      <w:r>
        <w:t xml:space="preserve"> Históricamente, el sector se basó en criterio experto. Bien aplicado, sigue siendo insustituible. Pero combinarlo con scoring, datos comportamentales y monitoreo continuo dejó de ser una innovación: es la base para no perder casos buenos por falta de información.</w:t>
      </w:r>
    </w:p>
    <w:p w14:paraId="56E9E91A" w14:textId="77777777" w:rsidR="0094234D" w:rsidRDefault="00474349">
      <w:r>
        <w:t>H2 no va a ser tranquilo. Las organizaciones que llegan a julio con estos tres temas en agenda — explícitos, conversados, presupuestados — van a tener un cierre de año muy distinto al de las que los empujan a 2027.</w:t>
      </w:r>
    </w:p>
    <w:p w14:paraId="6ABB04A7" w14:textId="77777777" w:rsidR="0094234D" w:rsidRPr="00864CB4" w:rsidRDefault="00474349">
      <w:pPr>
        <w:rPr>
          <w:lang w:val="en-US"/>
        </w:rPr>
      </w:pPr>
      <w:r w:rsidRPr="00864CB4">
        <w:rPr>
          <w:i/>
          <w:lang w:val="en-US"/>
        </w:rPr>
        <w:t>#SGR #FCI #Compliance #OpenBanking #OneClick #Fintech</w:t>
      </w:r>
    </w:p>
    <w:p w14:paraId="135D1BA9" w14:textId="77777777" w:rsidR="0094234D" w:rsidRDefault="00474349">
      <w:pPr>
        <w:pStyle w:val="Ttulo2"/>
      </w:pPr>
      <w:bookmarkStart w:id="28" w:name="post-13-didacta"/>
      <w:r>
        <w:t>Post 13 · Didacta</w:t>
      </w:r>
      <w:bookmarkEnd w:id="28"/>
    </w:p>
    <w:p w14:paraId="10BA0041" w14:textId="77777777" w:rsidR="0094234D" w:rsidRDefault="00474349">
      <w:r>
        <w:rPr>
          <w:b/>
        </w:rPr>
        <w:t>Didacta</w:t>
      </w:r>
      <w:r>
        <w:t xml:space="preserve"> · LinkedIn · Martes 23/6 · </w:t>
      </w:r>
      <w:r>
        <w:rPr>
          <w:i/>
        </w:rPr>
        <w:t>Agenda H2 · Sector educativo</w:t>
      </w:r>
    </w:p>
    <w:p w14:paraId="23FC87F9" w14:textId="77777777" w:rsidR="0094234D" w:rsidRDefault="00474349">
      <w:r>
        <w:rPr>
          <w:b/>
        </w:rPr>
        <w:t>Lo que hay que decidir antes de agosto en una institución educativa</w:t>
      </w:r>
    </w:p>
    <w:p w14:paraId="541CBB8F" w14:textId="77777777" w:rsidR="0094234D" w:rsidRDefault="00474349">
      <w:r>
        <w:t xml:space="preserve">El segundo cuatrimestre empieza en agosto. Eso significa que </w:t>
      </w:r>
      <w:r>
        <w:rPr>
          <w:b/>
        </w:rPr>
        <w:t>las decisiones que lo configuran se toman ahora</w:t>
      </w:r>
      <w:r>
        <w:t>, entre el cierre del primer cuatrimestre y el arranque del receso.</w:t>
      </w:r>
    </w:p>
    <w:p w14:paraId="76518D62" w14:textId="77777777" w:rsidR="0094234D" w:rsidRDefault="00474349">
      <w:r>
        <w:t>La lista corta de lo que tendría que tener resuelto cualquier institución universitaria seria antes del 1 de agosto:</w:t>
      </w:r>
    </w:p>
    <w:p w14:paraId="1B8DD464" w14:textId="77777777" w:rsidR="0094234D" w:rsidRDefault="00474349">
      <w:pPr>
        <w:numPr>
          <w:ilvl w:val="0"/>
          <w:numId w:val="7"/>
        </w:numPr>
      </w:pPr>
      <w:r>
        <w:rPr>
          <w:b/>
        </w:rPr>
        <w:t>Planta docente del segundo cuatrimestre cerrada y comunicada.</w:t>
      </w:r>
      <w:r>
        <w:t xml:space="preserve"> Quién dicta cada materia. Sin pendientes. Sin “esto lo terminamos en julio”.</w:t>
      </w:r>
    </w:p>
    <w:p w14:paraId="3EF8F9D6" w14:textId="77777777" w:rsidR="0094234D" w:rsidRDefault="00474349">
      <w:pPr>
        <w:numPr>
          <w:ilvl w:val="0"/>
          <w:numId w:val="7"/>
        </w:numPr>
      </w:pPr>
      <w:r>
        <w:rPr>
          <w:b/>
        </w:rPr>
        <w:t>Régimen de licencias actualizado.</w:t>
      </w:r>
      <w:r>
        <w:t xml:space="preserve"> Quién está, quién vuelve, quién no. Coordinaciones cubiertas.</w:t>
      </w:r>
    </w:p>
    <w:p w14:paraId="2D2E1443" w14:textId="77777777" w:rsidR="0094234D" w:rsidRDefault="00474349">
      <w:pPr>
        <w:numPr>
          <w:ilvl w:val="0"/>
          <w:numId w:val="7"/>
        </w:numPr>
      </w:pPr>
      <w:r>
        <w:rPr>
          <w:b/>
        </w:rPr>
        <w:t>Carga académica y calendario revisados.</w:t>
      </w:r>
      <w:r>
        <w:t xml:space="preserve"> Aulas asignadas, choques resueltos, distribución horaria validada.</w:t>
      </w:r>
    </w:p>
    <w:p w14:paraId="40B914F1" w14:textId="77777777" w:rsidR="0094234D" w:rsidRDefault="00474349">
      <w:pPr>
        <w:numPr>
          <w:ilvl w:val="0"/>
          <w:numId w:val="7"/>
        </w:numPr>
      </w:pPr>
      <w:r>
        <w:rPr>
          <w:b/>
        </w:rPr>
        <w:t>Reporte de cobranza del primer cuatrimestre cerrado.</w:t>
      </w:r>
      <w:r>
        <w:t xml:space="preserve"> Cuánto se facturó, cuánto se cobró, cuál es la mora real.</w:t>
      </w:r>
    </w:p>
    <w:p w14:paraId="00E2AD69" w14:textId="77777777" w:rsidR="0094234D" w:rsidRDefault="00474349">
      <w:pPr>
        <w:numPr>
          <w:ilvl w:val="0"/>
          <w:numId w:val="7"/>
        </w:numPr>
      </w:pPr>
      <w:r>
        <w:rPr>
          <w:b/>
        </w:rPr>
        <w:t>Sistemas listos para inscripción.</w:t>
      </w:r>
      <w:r>
        <w:t xml:space="preserve"> No “vamos a ver cómo anda”. Listos.</w:t>
      </w:r>
    </w:p>
    <w:p w14:paraId="4E21AED6" w14:textId="77777777" w:rsidR="0094234D" w:rsidRDefault="00474349">
      <w:r>
        <w:t>Cada uno de estos puntos parece operativo. Sumados, son la base sobre la que se construye un buen segundo cuatrimestre.</w:t>
      </w:r>
    </w:p>
    <w:p w14:paraId="7827C9A2" w14:textId="77777777" w:rsidR="0094234D" w:rsidRDefault="00474349">
      <w:r>
        <w:t>Cada año vemos instituciones que llegan a agosto con dos o tres de estos puntos sin cerrar. Y cada año, eso se traduce en problemas que se sienten todo el resto del semestre: reasignaciones de último momento, alumnos sin acceso, finanzas opacas.</w:t>
      </w:r>
    </w:p>
    <w:p w14:paraId="34CEDEDE" w14:textId="77777777" w:rsidR="0094234D" w:rsidRDefault="00474349">
      <w:r>
        <w:t>La diferencia entre arrancar bien y arrancar mal el segundo cuatrimestre no se decide en agosto. Se decide en junio.</w:t>
      </w:r>
    </w:p>
    <w:p w14:paraId="56A4E6AE" w14:textId="77777777" w:rsidR="0094234D" w:rsidRDefault="00474349">
      <w:r>
        <w:rPr>
          <w:i/>
        </w:rPr>
        <w:t>#EducaciónSuperior #GestiónUniversitaria #Didacta #PlanificaciónAcadémica</w:t>
      </w:r>
    </w:p>
    <w:p w14:paraId="0AAE69C0" w14:textId="77777777" w:rsidR="0094234D" w:rsidRDefault="00474349">
      <w:pPr>
        <w:pStyle w:val="Ttulo2"/>
      </w:pPr>
      <w:bookmarkStart w:id="29" w:name="post-14-humanware-academy"/>
      <w:r>
        <w:t>Post 14 · Humanware Academy</w:t>
      </w:r>
      <w:bookmarkEnd w:id="29"/>
    </w:p>
    <w:p w14:paraId="0E882511" w14:textId="77777777" w:rsidR="0094234D" w:rsidRPr="00864CB4" w:rsidRDefault="00474349">
      <w:pPr>
        <w:rPr>
          <w:lang w:val="en-US"/>
        </w:rPr>
      </w:pPr>
      <w:r w:rsidRPr="00864CB4">
        <w:rPr>
          <w:b/>
          <w:lang w:val="en-US"/>
        </w:rPr>
        <w:t>Humanware Academy</w:t>
      </w:r>
      <w:r w:rsidRPr="00864CB4">
        <w:rPr>
          <w:lang w:val="en-US"/>
        </w:rPr>
        <w:t xml:space="preserve"> · — · Miércoles 24/6 · </w:t>
      </w:r>
      <w:r w:rsidRPr="00864CB4">
        <w:rPr>
          <w:i/>
          <w:lang w:val="en-US"/>
        </w:rPr>
        <w:t>Posteo Academy</w:t>
      </w:r>
    </w:p>
    <w:p w14:paraId="00FE653B" w14:textId="77777777" w:rsidR="0094234D" w:rsidRPr="00864CB4" w:rsidRDefault="00474349">
      <w:pPr>
        <w:pStyle w:val="Ttulo2"/>
        <w:rPr>
          <w:lang w:val="en-US"/>
        </w:rPr>
      </w:pPr>
      <w:bookmarkStart w:id="30" w:name="post-15-humanware-group"/>
      <w:r w:rsidRPr="00864CB4">
        <w:rPr>
          <w:lang w:val="en-US"/>
        </w:rPr>
        <w:t>Post 15 · Humanware Group</w:t>
      </w:r>
      <w:bookmarkEnd w:id="30"/>
    </w:p>
    <w:p w14:paraId="60A75F81" w14:textId="77777777" w:rsidR="0094234D" w:rsidRDefault="00474349">
      <w:r>
        <w:rPr>
          <w:b/>
        </w:rPr>
        <w:t>Humanware Group</w:t>
      </w:r>
      <w:r>
        <w:t xml:space="preserve"> · LinkedIn · Jueves 25/6 · </w:t>
      </w:r>
      <w:r>
        <w:rPr>
          <w:i/>
        </w:rPr>
        <w:t>Cierre H1 · Una sola lección</w:t>
      </w:r>
    </w:p>
    <w:p w14:paraId="02C8FD70" w14:textId="77777777" w:rsidR="0094234D" w:rsidRDefault="00474349">
      <w:r>
        <w:rPr>
          <w:b/>
        </w:rPr>
        <w:t>Si tuviéramos que quedarnos con una sola cosa del primer semestre, sería ésta</w:t>
      </w:r>
    </w:p>
    <w:p w14:paraId="5C803F36" w14:textId="77777777" w:rsidR="0094234D" w:rsidRDefault="00474349">
      <w:r>
        <w:t>Cerrar un semestre tiene dos versiones. La larga, que sirve para el directorio: tablas, KPIs, hitos, métricas. Y la corta, que sirve para uno mismo: una sola idea, condensada, que se queda.</w:t>
      </w:r>
    </w:p>
    <w:p w14:paraId="08ABB88D" w14:textId="77777777" w:rsidR="0094234D" w:rsidRDefault="00474349">
      <w:r>
        <w:t>La nuestra de H1 2026 es ésta:</w:t>
      </w:r>
    </w:p>
    <w:p w14:paraId="7642A41D" w14:textId="77777777" w:rsidR="0094234D" w:rsidRDefault="00474349">
      <w:r>
        <w:rPr>
          <w:b/>
        </w:rPr>
        <w:t>El cliente que más rápido se moderniza no es el que más necesita modernizarse. Es el que más claramente decide hacerlo.</w:t>
      </w:r>
    </w:p>
    <w:p w14:paraId="713BA075" w14:textId="77777777" w:rsidR="0094234D" w:rsidRDefault="00474349">
      <w:r>
        <w:lastRenderedPageBreak/>
        <w:t>Suena obvio. Pero en seis meses de mirar implementaciones, casos, prospects y conversaciones, fue lo que más se nos repitió.</w:t>
      </w:r>
    </w:p>
    <w:p w14:paraId="2E0632F5" w14:textId="77777777" w:rsidR="0094234D" w:rsidRDefault="00474349">
      <w:r>
        <w:t>Hay clientes con urgencias enormes que llevan años sin avanzar. Hay otros con presiones aparentemente menores que avanzan en tres meses. La variable que explica la diferencia no es la necesidad. No es el presupuesto. No es el tamaño.</w:t>
      </w:r>
    </w:p>
    <w:p w14:paraId="409BB202" w14:textId="77777777" w:rsidR="0094234D" w:rsidRDefault="00474349">
      <w:r>
        <w:t xml:space="preserve">Es la </w:t>
      </w:r>
      <w:r>
        <w:rPr>
          <w:b/>
        </w:rPr>
        <w:t>claridad de la decisión</w:t>
      </w:r>
      <w:r>
        <w:t>.</w:t>
      </w:r>
    </w:p>
    <w:p w14:paraId="5EF5A569" w14:textId="77777777" w:rsidR="0094234D" w:rsidRDefault="00474349">
      <w:r>
        <w:t>Las organizaciones que dicen “queremos cambiar, pero…” están en otra etapa que las que dicen “vamos a cambiar, y vamos a hacer estas cosas para que pase”. El “pero” suele esconder una decisión todavía no tomada.</w:t>
      </w:r>
    </w:p>
    <w:p w14:paraId="0826A0B2" w14:textId="77777777" w:rsidR="0094234D" w:rsidRDefault="00474349">
      <w:r>
        <w:t>Para H2 esto nos plantea una responsabilidad: no es nuestro trabajo convencer a un cliente de que decida. Es nuestro trabajo ayudarlo a ver con honestidad en qué momento de la decisión está. A veces eso significa avanzar. A veces significa esperar.</w:t>
      </w:r>
    </w:p>
    <w:p w14:paraId="1919D115" w14:textId="77777777" w:rsidR="0094234D" w:rsidRDefault="00474349">
      <w:r>
        <w:t>Mayo cerró con una pregunta sobre cuándo no vender. Junio cierra con una observación sobre cuándo el otro está listo para comprar. Las dos cosas son parte de la misma conversación.</w:t>
      </w:r>
    </w:p>
    <w:p w14:paraId="04C06880" w14:textId="77777777" w:rsidR="0094234D" w:rsidRDefault="00474349">
      <w:r>
        <w:t>H2 arranca en julio. Volvemos con todo.</w:t>
      </w:r>
    </w:p>
    <w:p w14:paraId="3FA4C3A3" w14:textId="77777777" w:rsidR="0094234D" w:rsidRDefault="00474349">
      <w:r>
        <w:rPr>
          <w:i/>
        </w:rPr>
        <w:t>#HumanwareGroup #Estrategia #CierreDeSemestre #B2B</w:t>
      </w:r>
    </w:p>
    <w:sectPr w:rsidR="0094234D">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Soledad Lara" w:date="2026-06-03T14:42:00Z" w:initials="SL">
    <w:p w14:paraId="0D5B3C92" w14:textId="0B298844" w:rsidR="00000000" w:rsidRDefault="00000000">
      <w:r>
        <w:annotationRef/>
      </w:r>
      <w:r w:rsidRPr="1FD5F94F">
        <w:t>Esto no es así, las exigencias son las mismas. No hubo cambios normativos con impacto en las presentaciones.</w:t>
      </w:r>
    </w:p>
  </w:comment>
  <w:comment w:id="12" w:author="Soledad Lara" w:date="2026-06-03T14:44:00Z" w:initials="SL">
    <w:p w14:paraId="04FB85AC" w14:textId="1F7049F9" w:rsidR="00000000" w:rsidRDefault="00000000">
      <w:r>
        <w:annotationRef/>
      </w:r>
      <w:r w:rsidRPr="3ED70B4F">
        <w:t>Me parece un arma de doble filo hablar de esto ahora, aun no tenemos el FinanIA terminado</w:t>
      </w:r>
    </w:p>
  </w:comment>
  <w:comment w:id="13" w:author="Diego Romero" w:date="2026-06-03T15:38:00Z" w:initials="DR">
    <w:p w14:paraId="24C5CADB" w14:textId="3E758AF9" w:rsidR="00000000" w:rsidRDefault="00000000">
      <w:r>
        <w:annotationRef/>
      </w:r>
      <w:r w:rsidRPr="6958E406">
        <w:t xml:space="preserve">Ok, lo salteamos entonces... </w:t>
      </w:r>
    </w:p>
    <w:p w14:paraId="6EC738F4" w14:textId="048213D0" w:rsidR="00000000" w:rsidRDefault="00000000"/>
  </w:comment>
  <w:comment w:id="19" w:author="Soledad Lara" w:date="2026-06-03T14:50:00Z" w:initials="SL">
    <w:p w14:paraId="2CEA6DFB" w14:textId="61D67E56" w:rsidR="00000000" w:rsidRDefault="00000000">
      <w:r>
        <w:annotationRef/>
      </w:r>
      <w:r w:rsidRPr="370B1F92">
        <w:t>No hay administradoras que operen sobre OC (no tenemos producto terminado aun) de ahí que la base de todo lo que esta a continuación no me genera mucha confianza</w:t>
      </w:r>
    </w:p>
  </w:comment>
  <w:comment w:id="20" w:author="Soledad Lara" w:date="2026-06-03T14:46:00Z" w:initials="SL">
    <w:p w14:paraId="6CACD8BF" w14:textId="7A030696" w:rsidR="00000000" w:rsidRDefault="00000000">
      <w:r>
        <w:annotationRef/>
      </w:r>
      <w:r w:rsidRPr="3B2B5579">
        <w:t>No me consta que esto sea asi</w:t>
      </w:r>
    </w:p>
  </w:comment>
  <w:comment w:id="26" w:author="Soledad Lara" w:date="2026-06-03T14:53:00Z" w:initials="SL">
    <w:p w14:paraId="7B97A414" w14:textId="73A8398D" w:rsidR="00000000" w:rsidRDefault="00000000">
      <w:r>
        <w:annotationRef/>
      </w:r>
      <w:r w:rsidRPr="3F60A52A">
        <w:t>No me consta que este habiendo cambios normativos que hagan necesario aumentar la velocidad regulatoria</w:t>
      </w:r>
    </w:p>
  </w:comment>
  <w:comment w:id="27" w:author="Diego Romero" w:date="2026-06-03T15:42:00Z" w:initials="DR">
    <w:p w14:paraId="319894AD" w14:textId="603886FF" w:rsidR="00000000" w:rsidRDefault="00000000">
      <w:r>
        <w:annotationRef/>
      </w:r>
      <w:r w:rsidRPr="0DF859BA">
        <w:t>No olvidemos que esto es Marketing, osea no es un documento "oficial". Si bien, no todo es valido en el Mktg. se puede hablar de posibles esenarios aunque estos no existan o no sean 100% reales.</w:t>
      </w:r>
    </w:p>
    <w:p w14:paraId="07D7C7B4" w14:textId="55A37505" w:rsidR="00000000" w:rsidRDefault="00000000"/>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5B3C92" w15:done="0"/>
  <w15:commentEx w15:paraId="04FB85AC" w15:done="0"/>
  <w15:commentEx w15:paraId="6EC738F4" w15:paraIdParent="04FB85AC" w15:done="0"/>
  <w15:commentEx w15:paraId="2CEA6DFB" w15:done="0"/>
  <w15:commentEx w15:paraId="6CACD8BF" w15:done="0"/>
  <w15:commentEx w15:paraId="7B97A414" w15:done="0"/>
  <w15:commentEx w15:paraId="07D7C7B4" w15:paraIdParent="7B97A4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D1B0C0" w16cex:dateUtc="2026-06-03T17:42:00Z"/>
  <w16cex:commentExtensible w16cex:durableId="6DBE75A3" w16cex:dateUtc="2026-06-03T17:44:00Z"/>
  <w16cex:commentExtensible w16cex:durableId="5E1EF48A" w16cex:dateUtc="2026-06-03T18:38:00Z"/>
  <w16cex:commentExtensible w16cex:durableId="0BC1E39D" w16cex:dateUtc="2026-06-03T17:50:00Z"/>
  <w16cex:commentExtensible w16cex:durableId="41C6EE20" w16cex:dateUtc="2026-06-03T17:46:00Z"/>
  <w16cex:commentExtensible w16cex:durableId="250AD217" w16cex:dateUtc="2026-06-03T17:53:00Z"/>
  <w16cex:commentExtensible w16cex:durableId="0D26786A" w16cex:dateUtc="2026-06-03T1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5B3C92" w16cid:durableId="3ED1B0C0"/>
  <w16cid:commentId w16cid:paraId="04FB85AC" w16cid:durableId="6DBE75A3"/>
  <w16cid:commentId w16cid:paraId="6EC738F4" w16cid:durableId="5E1EF48A"/>
  <w16cid:commentId w16cid:paraId="2CEA6DFB" w16cid:durableId="0BC1E39D"/>
  <w16cid:commentId w16cid:paraId="6CACD8BF" w16cid:durableId="41C6EE20"/>
  <w16cid:commentId w16cid:paraId="7B97A414" w16cid:durableId="250AD217"/>
  <w16cid:commentId w16cid:paraId="07D7C7B4" w16cid:durableId="0D2678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F4EA7" w14:textId="77777777" w:rsidR="00CE6059" w:rsidRDefault="00CE6059">
      <w:r>
        <w:separator/>
      </w:r>
    </w:p>
  </w:endnote>
  <w:endnote w:type="continuationSeparator" w:id="0">
    <w:p w14:paraId="207537E5" w14:textId="77777777" w:rsidR="00CE6059" w:rsidRDefault="00CE6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68F02" w14:textId="77777777" w:rsidR="00CE6059" w:rsidRDefault="00CE6059">
      <w:r>
        <w:separator/>
      </w:r>
    </w:p>
  </w:footnote>
  <w:footnote w:type="continuationSeparator" w:id="0">
    <w:p w14:paraId="6572019F" w14:textId="77777777" w:rsidR="00CE6059" w:rsidRDefault="00CE60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FFFFFFF"/>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8CE704A"/>
    <w:multiLevelType w:val="hybridMultilevel"/>
    <w:tmpl w:val="46D6DFCA"/>
    <w:lvl w:ilvl="0" w:tplc="0B2E5968">
      <w:start w:val="1"/>
      <w:numFmt w:val="bullet"/>
      <w:lvlText w:val="●"/>
      <w:lvlJc w:val="left"/>
      <w:pPr>
        <w:ind w:left="720" w:hanging="360"/>
      </w:pPr>
    </w:lvl>
    <w:lvl w:ilvl="1" w:tplc="4F7E14B6">
      <w:start w:val="1"/>
      <w:numFmt w:val="bullet"/>
      <w:lvlText w:val="○"/>
      <w:lvlJc w:val="left"/>
      <w:pPr>
        <w:ind w:left="1440" w:hanging="360"/>
      </w:pPr>
    </w:lvl>
    <w:lvl w:ilvl="2" w:tplc="D65E7C00">
      <w:start w:val="1"/>
      <w:numFmt w:val="bullet"/>
      <w:lvlText w:val="■"/>
      <w:lvlJc w:val="left"/>
      <w:pPr>
        <w:ind w:left="2160" w:hanging="360"/>
      </w:pPr>
    </w:lvl>
    <w:lvl w:ilvl="3" w:tplc="A0A0C2E8">
      <w:start w:val="1"/>
      <w:numFmt w:val="bullet"/>
      <w:lvlText w:val="●"/>
      <w:lvlJc w:val="left"/>
      <w:pPr>
        <w:ind w:left="2880" w:hanging="360"/>
      </w:pPr>
    </w:lvl>
    <w:lvl w:ilvl="4" w:tplc="D1A416EE">
      <w:start w:val="1"/>
      <w:numFmt w:val="bullet"/>
      <w:lvlText w:val="○"/>
      <w:lvlJc w:val="left"/>
      <w:pPr>
        <w:ind w:left="3600" w:hanging="360"/>
      </w:pPr>
    </w:lvl>
    <w:lvl w:ilvl="5" w:tplc="2AA0C00C">
      <w:start w:val="1"/>
      <w:numFmt w:val="bullet"/>
      <w:lvlText w:val="■"/>
      <w:lvlJc w:val="left"/>
      <w:pPr>
        <w:ind w:left="4320" w:hanging="360"/>
      </w:pPr>
    </w:lvl>
    <w:lvl w:ilvl="6" w:tplc="14B0ED1E">
      <w:start w:val="1"/>
      <w:numFmt w:val="bullet"/>
      <w:lvlText w:val="●"/>
      <w:lvlJc w:val="left"/>
      <w:pPr>
        <w:ind w:left="5040" w:hanging="360"/>
      </w:pPr>
    </w:lvl>
    <w:lvl w:ilvl="7" w:tplc="344215A0">
      <w:start w:val="1"/>
      <w:numFmt w:val="bullet"/>
      <w:lvlText w:val="●"/>
      <w:lvlJc w:val="left"/>
      <w:pPr>
        <w:ind w:left="5760" w:hanging="360"/>
      </w:pPr>
    </w:lvl>
    <w:lvl w:ilvl="8" w:tplc="F9F0F29C">
      <w:start w:val="1"/>
      <w:numFmt w:val="bullet"/>
      <w:lvlText w:val="●"/>
      <w:lvlJc w:val="left"/>
      <w:pPr>
        <w:ind w:left="6480" w:hanging="360"/>
      </w:pPr>
    </w:lvl>
  </w:abstractNum>
  <w:abstractNum w:abstractNumId="2" w15:restartNumberingAfterBreak="0">
    <w:nsid w:val="2C1AE401"/>
    <w:multiLevelType w:val="multilevel"/>
    <w:tmpl w:val="FFFFFFFF"/>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4EEE470A"/>
    <w:multiLevelType w:val="hybridMultilevel"/>
    <w:tmpl w:val="25C0AB48"/>
    <w:lvl w:ilvl="0" w:tplc="5C243280">
      <w:start w:val="1"/>
      <w:numFmt w:val="bullet"/>
      <w:lvlText w:val="•"/>
      <w:lvlJc w:val="left"/>
      <w:pPr>
        <w:ind w:left="720" w:hanging="360"/>
      </w:pPr>
    </w:lvl>
    <w:lvl w:ilvl="1" w:tplc="A80E9BF0">
      <w:numFmt w:val="decimal"/>
      <w:lvlText w:val=""/>
      <w:lvlJc w:val="left"/>
    </w:lvl>
    <w:lvl w:ilvl="2" w:tplc="C136E1E6">
      <w:numFmt w:val="decimal"/>
      <w:lvlText w:val=""/>
      <w:lvlJc w:val="left"/>
    </w:lvl>
    <w:lvl w:ilvl="3" w:tplc="BD342C34">
      <w:numFmt w:val="decimal"/>
      <w:lvlText w:val=""/>
      <w:lvlJc w:val="left"/>
    </w:lvl>
    <w:lvl w:ilvl="4" w:tplc="1EF607A4">
      <w:numFmt w:val="decimal"/>
      <w:lvlText w:val=""/>
      <w:lvlJc w:val="left"/>
    </w:lvl>
    <w:lvl w:ilvl="5" w:tplc="916208FA">
      <w:numFmt w:val="decimal"/>
      <w:lvlText w:val=""/>
      <w:lvlJc w:val="left"/>
    </w:lvl>
    <w:lvl w:ilvl="6" w:tplc="D5A242C2">
      <w:numFmt w:val="decimal"/>
      <w:lvlText w:val=""/>
      <w:lvlJc w:val="left"/>
    </w:lvl>
    <w:lvl w:ilvl="7" w:tplc="6CD81536">
      <w:numFmt w:val="decimal"/>
      <w:lvlText w:val=""/>
      <w:lvlJc w:val="left"/>
    </w:lvl>
    <w:lvl w:ilvl="8" w:tplc="2332A1EC">
      <w:numFmt w:val="decimal"/>
      <w:lvlText w:val=""/>
      <w:lvlJc w:val="left"/>
    </w:lvl>
  </w:abstractNum>
  <w:abstractNum w:abstractNumId="4" w15:restartNumberingAfterBreak="0">
    <w:nsid w:val="71315DCA"/>
    <w:multiLevelType w:val="multilevel"/>
    <w:tmpl w:val="FFFFFFFF"/>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94972933">
    <w:abstractNumId w:val="1"/>
    <w:lvlOverride w:ilvl="0">
      <w:startOverride w:val="1"/>
    </w:lvlOverride>
  </w:num>
  <w:num w:numId="2" w16cid:durableId="2002811244">
    <w:abstractNumId w:val="3"/>
    <w:lvlOverride w:ilvl="0">
      <w:startOverride w:val="1"/>
    </w:lvlOverride>
  </w:num>
  <w:num w:numId="3" w16cid:durableId="1747605120">
    <w:abstractNumId w:val="2"/>
  </w:num>
  <w:num w:numId="4" w16cid:durableId="4014512">
    <w:abstractNumId w:val="0"/>
  </w:num>
  <w:num w:numId="5" w16cid:durableId="19110359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3320310">
    <w:abstractNumId w:val="0"/>
  </w:num>
  <w:num w:numId="7" w16cid:durableId="2508170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ledad Lara">
    <w15:presenceInfo w15:providerId="AD" w15:userId="S::slara@hwapplications.com::11e98e77-7435-40d8-9e43-19bf8ee45e5e"/>
  </w15:person>
  <w15:person w15:author="Diego Romero">
    <w15:presenceInfo w15:providerId="AD" w15:userId="S::dromero@hwapplications.com::8750075e-5d49-40fc-9a73-b21a24b412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74349"/>
    <w:rsid w:val="0049476D"/>
    <w:rsid w:val="004E29B3"/>
    <w:rsid w:val="00590D07"/>
    <w:rsid w:val="00784D58"/>
    <w:rsid w:val="00864CB4"/>
    <w:rsid w:val="008D6863"/>
    <w:rsid w:val="0094234D"/>
    <w:rsid w:val="00A6565B"/>
    <w:rsid w:val="00B86B75"/>
    <w:rsid w:val="00BC48D5"/>
    <w:rsid w:val="00C36279"/>
    <w:rsid w:val="00CE6059"/>
    <w:rsid w:val="00E315A3"/>
    <w:rsid w:val="353A1CAD"/>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A1126"/>
  <w15:docId w15:val="{922133B0-4F72-4B02-9DB4-30F030B13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1F3864"/>
      <w:sz w:val="36"/>
      <w:szCs w:val="36"/>
    </w:rPr>
  </w:style>
  <w:style w:type="paragraph" w:styleId="Ttulo2">
    <w:name w:val="heading 2"/>
    <w:uiPriority w:val="9"/>
    <w:unhideWhenUsed/>
    <w:qFormat/>
    <w:pPr>
      <w:spacing w:before="240" w:after="120"/>
      <w:outlineLvl w:val="1"/>
    </w:pPr>
    <w:rPr>
      <w:b/>
      <w:bCs/>
      <w:color w:val="2E74B5"/>
      <w:sz w:val="28"/>
      <w:szCs w:val="28"/>
    </w:rPr>
  </w:style>
  <w:style w:type="paragraph" w:styleId="Ttulo3">
    <w:name w:val="heading 3"/>
    <w:uiPriority w:val="9"/>
    <w:unhideWhenUsed/>
    <w:qFormat/>
    <w:pPr>
      <w:spacing w:before="180" w:after="80"/>
      <w:outlineLvl w:val="2"/>
    </w:pPr>
    <w:rPr>
      <w:b/>
      <w:bCs/>
      <w:color w:val="33333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7</Pages>
  <Words>2794</Words>
  <Characters>15367</Characters>
  <Application>Microsoft Office Word</Application>
  <DocSecurity>0</DocSecurity>
  <Lines>128</Lines>
  <Paragraphs>36</Paragraphs>
  <ScaleCrop>false</ScaleCrop>
  <Company/>
  <LinksUpToDate>false</LinksUpToDate>
  <CharactersWithSpaces>18125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Diego Romero</cp:lastModifiedBy>
  <cp:revision>3</cp:revision>
  <dcterms:created xsi:type="dcterms:W3CDTF">2026-06-03T16:37:00Z</dcterms:created>
  <dcterms:modified xsi:type="dcterms:W3CDTF">2026-06-08T17:55:00Z</dcterms:modified>
</cp:coreProperties>
</file>