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xlsx" ContentType="application/vnd.openxmlformats-officedocument.spreadsheetml.sheet"/>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harts/chart1000.xml" ContentType="application/vnd.openxmlformats-officedocument.drawingml.chart+xml"/>
  <Override PartName="/word/embeddings/Workbook1000.xlsx" ContentType="application/vnd.openxmlformats-officedocument.spreadsheetml.sheet"/>
  <Override PartName="/word/charts/colors1000.xml" ContentType="application/vnd.ms-office.chartcolorstyle+xml"/>
  <Override PartName="/word/charts/style1000.xml" ContentType="application/vnd.ms-office.chartstyle+xml"/>
  <Override PartName="/word/charts/chart1001.xml" ContentType="application/vnd.openxmlformats-officedocument.drawingml.chart+xml"/>
  <Override PartName="/word/embeddings/Workbook1001.xlsx" ContentType="application/vnd.openxmlformats-officedocument.spreadsheetml.sheet"/>
  <Override PartName="/word/charts/colors1001.xml" ContentType="application/vnd.ms-office.chartcolorstyle+xml"/>
  <Override PartName="/word/charts/style1001.xml" ContentType="application/vnd.ms-office.chartstyle+xml"/>
  <Override PartName="/word/charts/chart1002.xml" ContentType="application/vnd.openxmlformats-officedocument.drawingml.chart+xml"/>
  <Override PartName="/word/embeddings/Workbook1002.xlsx" ContentType="application/vnd.openxmlformats-officedocument.spreadsheetml.sheet"/>
  <Override PartName="/word/charts/colors1002.xml" ContentType="application/vnd.ms-office.chartcolorstyle+xml"/>
  <Override PartName="/word/charts/style1002.xml" ContentType="application/vnd.ms-office.chartstyle+xml"/>
  <Override PartName="/word/charts/chart1003.xml" ContentType="application/vnd.openxmlformats-officedocument.drawingml.chart+xml"/>
  <Override PartName="/word/embeddings/Workbook1003.xlsx" ContentType="application/vnd.openxmlformats-officedocument.spreadsheetml.sheet"/>
  <Override PartName="/word/charts/colors1003.xml" ContentType="application/vnd.ms-office.chartcolorstyle+xml"/>
  <Override PartName="/word/charts/style1003.xml" ContentType="application/vnd.ms-office.chartstyle+xml"/>
  <Override PartName="/word/charts/chart1004.xml" ContentType="application/vnd.openxmlformats-officedocument.drawingml.chart+xml"/>
  <Override PartName="/word/embeddings/Workbook1004.xlsx" ContentType="application/vnd.openxmlformats-officedocument.spreadsheetml.sheet"/>
  <Override PartName="/word/charts/colors1004.xml" ContentType="application/vnd.ms-office.chartcolorstyle+xml"/>
  <Override PartName="/word/charts/style1004.xml" ContentType="application/vnd.ms-office.chartstyle+xml"/>
  <Override PartName="/word/charts/chart1005.xml" ContentType="application/vnd.openxmlformats-officedocument.drawingml.chart+xml"/>
  <Override PartName="/word/embeddings/Workbook1005.xlsx" ContentType="application/vnd.openxmlformats-officedocument.spreadsheetml.sheet"/>
  <Override PartName="/word/charts/colors1005.xml" ContentType="application/vnd.ms-office.chartcolorstyle+xml"/>
  <Override PartName="/word/charts/style1005.xml" ContentType="application/vnd.ms-office.chartstyle+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c="http://schemas.openxmlformats.org/drawingml/2006/chart" xmlns:a="http://schemas.openxmlformats.org/draw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0" w:before="360"/>
        <w:jc w:val="center"/>
        <w:pBdr>
          <w:bottom w:val="single" w:sz="8" w:space="2" w:color="E0E0E0"/>
        </w:pBdr>
      </w:pPr>
      <w:r>
        <w:rPr>
          <w:rFonts w:ascii="Microsoft YaHei" w:hAnsi="Microsoft YaHei" w:eastAsia="Microsoft YaHei" w:cs="Microsoft YaHei"/>
          <w:b/>
          <w:color w:val="333333"/>
          <w:sz w:val="44"/>
        </w:rPr>
        <w:t>منصات البث الرقمي: تحليل شامل للأسواق العالمية والأفريقية وفرص إنشاء منصة موريتانية رائدة</w:t>
      </w:r>
    </w:p>
    <w:p>
      <w:r>
        <w:rPr>
          <w:rFonts w:ascii="Arial" w:hAnsi="Arial" w:eastAsia="Arial" w:cs="Arial"/>
          <w:b/>
          <w:color w:val="333333"/>
          <w:sz w:val="33"/>
        </w:rPr>
        <w:t>جدول المحتويات</w:t>
      </w:r>
    </w:p>
    <w:p>
      <w:pPr>
        <w:spacing w:line="240" w:lineRule="auto" w:after="20" w:before="0"/>
      </w:pPr>
      <w:r>
        <w:rPr>
          <w:rFonts w:ascii="Microsoft YaHei" w:hAnsi="Microsoft YaHei" w:eastAsia="Microsoft YaHei" w:cs="Microsoft YaHei"/>
          <w:b w:val="0"/>
          <w:color w:val="333333"/>
          <w:sz w:val="24"/>
          <w:u w:val="none"/>
        </w:rPr>
        <w:t>مقدمة: ثورة البث الرقمي والسياق الإقليمي الواعد</w:t>
      </w:r>
    </w:p>
    <w:p>
      <w:pPr>
        <w:spacing w:line="240" w:lineRule="auto" w:after="20" w:before="0"/>
      </w:pPr>
      <w:r>
        <w:rPr>
          <w:rFonts w:ascii="Microsoft YaHei" w:hAnsi="Microsoft YaHei" w:eastAsia="Microsoft YaHei" w:cs="Microsoft YaHei"/>
          <w:b w:val="0"/>
          <w:color w:val="333333"/>
          <w:sz w:val="24"/>
          <w:u w:val="none"/>
        </w:rPr>
        <w:t>المشهد العالمي والإقليمي لمنصات البث: هيمنة العمالقة وصعود اللاعبين المحليين</w:t>
      </w:r>
      <w:r>
        <w:t xml:space="preserve"> </w:t>
      </w:r>
      <w:r>
        <w:t xml:space="preserve"> </w:t>
      </w:r>
    </w:p>
    <w:p>
      <w:pPr>
        <w:spacing w:line="240" w:lineRule="auto" w:after="20" w:before="0"/>
        <w:ind w:left="720"/>
      </w:pPr>
      <w:r>
        <w:rPr>
          <w:rFonts w:ascii="Microsoft YaHei" w:hAnsi="Microsoft YaHei" w:eastAsia="Microsoft YaHei" w:cs="Microsoft YaHei"/>
          <w:b w:val="0"/>
          <w:color w:val="333333"/>
          <w:sz w:val="24"/>
          <w:u w:val="none"/>
        </w:rPr>
        <w:t>نظرة عامة على السوق العالمي</w:t>
      </w:r>
    </w:p>
    <w:p>
      <w:pPr>
        <w:spacing w:line="240" w:lineRule="auto" w:after="20" w:before="0"/>
        <w:ind w:left="720"/>
      </w:pPr>
      <w:r>
        <w:rPr>
          <w:rFonts w:ascii="Microsoft YaHei" w:hAnsi="Microsoft YaHei" w:eastAsia="Microsoft YaHei" w:cs="Microsoft YaHei"/>
          <w:b w:val="0"/>
          <w:color w:val="333333"/>
          <w:sz w:val="24"/>
          <w:u w:val="none"/>
        </w:rPr>
        <w:t>تحليل سوق الشرق الأوسط وشمال أفريقيا (MENA)</w:t>
      </w:r>
    </w:p>
    <w:p>
      <w:pPr>
        <w:spacing w:line="240" w:lineRule="auto" w:after="20" w:before="0"/>
        <w:ind w:left="720"/>
      </w:pPr>
      <w:r>
        <w:rPr>
          <w:rFonts w:ascii="Microsoft YaHei" w:hAnsi="Microsoft YaHei" w:eastAsia="Microsoft YaHei" w:cs="Microsoft YaHei"/>
          <w:b w:val="0"/>
          <w:color w:val="333333"/>
          <w:sz w:val="24"/>
          <w:u w:val="none"/>
        </w:rPr>
        <w:t>تحليل سوق أفريقيا جنوب الصحراء</w:t>
      </w:r>
    </w:p>
    <w:p>
      <w:pPr>
        <w:spacing w:line="240" w:lineRule="auto" w:after="20" w:before="0"/>
      </w:pPr>
      <w:r>
        <w:rPr>
          <w:rFonts w:ascii="Microsoft YaHei" w:hAnsi="Microsoft YaHei" w:eastAsia="Microsoft YaHei" w:cs="Microsoft YaHei"/>
          <w:b w:val="0"/>
          <w:color w:val="333333"/>
          <w:sz w:val="24"/>
          <w:u w:val="none"/>
        </w:rPr>
        <w:t>السوق الموريتاني: فرصة غير مستغلة في قلب التحول الرقمي</w:t>
      </w:r>
      <w:r>
        <w:t xml:space="preserve"> </w:t>
      </w:r>
      <w:r>
        <w:t xml:space="preserve"> </w:t>
      </w:r>
    </w:p>
    <w:p>
      <w:pPr>
        <w:spacing w:line="240" w:lineRule="auto" w:after="20" w:before="0"/>
        <w:ind w:left="720"/>
      </w:pPr>
      <w:r>
        <w:rPr>
          <w:rFonts w:ascii="Microsoft YaHei" w:hAnsi="Microsoft YaHei" w:eastAsia="Microsoft YaHei" w:cs="Microsoft YaHei"/>
          <w:b w:val="0"/>
          <w:color w:val="333333"/>
          <w:sz w:val="24"/>
          <w:u w:val="none"/>
        </w:rPr>
        <w:t>الواقع الرقمي في موريتانيا</w:t>
      </w:r>
    </w:p>
    <w:p>
      <w:pPr>
        <w:spacing w:line="240" w:lineRule="auto" w:after="20" w:before="0"/>
        <w:ind w:left="720"/>
      </w:pPr>
      <w:r>
        <w:rPr>
          <w:rFonts w:ascii="Microsoft YaHei" w:hAnsi="Microsoft YaHei" w:eastAsia="Microsoft YaHei" w:cs="Microsoft YaHei"/>
          <w:b w:val="0"/>
          <w:color w:val="333333"/>
          <w:sz w:val="24"/>
          <w:u w:val="none"/>
        </w:rPr>
        <w:t>ثورة الدفع الرقمي كعامل تمكين أساسي</w:t>
      </w:r>
    </w:p>
    <w:p>
      <w:pPr>
        <w:spacing w:line="240" w:lineRule="auto" w:after="20" w:before="0"/>
        <w:ind w:left="720"/>
      </w:pPr>
      <w:r>
        <w:rPr>
          <w:rFonts w:ascii="Microsoft YaHei" w:hAnsi="Microsoft YaHei" w:eastAsia="Microsoft YaHei" w:cs="Microsoft YaHei"/>
          <w:b w:val="0"/>
          <w:color w:val="333333"/>
          <w:sz w:val="24"/>
          <w:u w:val="none"/>
        </w:rPr>
        <w:t>تحليل SWOT لإنشاء منصة موريتانية</w:t>
      </w:r>
    </w:p>
    <w:p>
      <w:pPr>
        <w:spacing w:line="240" w:lineRule="auto" w:after="20" w:before="0"/>
      </w:pPr>
      <w:r>
        <w:rPr>
          <w:rFonts w:ascii="Microsoft YaHei" w:hAnsi="Microsoft YaHei" w:eastAsia="Microsoft YaHei" w:cs="Microsoft YaHei"/>
          <w:b w:val="0"/>
          <w:color w:val="333333"/>
          <w:sz w:val="24"/>
          <w:u w:val="none"/>
        </w:rPr>
        <w:t>خارطة طريق لإطلاق منصة بث موريتانية ناجحة</w:t>
      </w:r>
      <w:r>
        <w:t xml:space="preserve"> </w:t>
      </w:r>
      <w:r>
        <w:t xml:space="preserve"> </w:t>
      </w:r>
    </w:p>
    <w:p>
      <w:pPr>
        <w:spacing w:line="240" w:lineRule="auto" w:after="20" w:before="0"/>
        <w:ind w:left="720"/>
      </w:pPr>
      <w:r>
        <w:rPr>
          <w:rFonts w:ascii="Microsoft YaHei" w:hAnsi="Microsoft YaHei" w:eastAsia="Microsoft YaHei" w:cs="Microsoft YaHei"/>
          <w:b w:val="0"/>
          <w:color w:val="333333"/>
          <w:sz w:val="24"/>
          <w:u w:val="none"/>
        </w:rPr>
        <w:t>استراتيجية المحتوى والتعامل مع المبدعين</w:t>
      </w:r>
    </w:p>
    <w:p>
      <w:pPr>
        <w:spacing w:line="240" w:lineRule="auto" w:after="20" w:before="0"/>
        <w:ind w:left="720"/>
      </w:pPr>
      <w:r>
        <w:rPr>
          <w:rFonts w:ascii="Microsoft YaHei" w:hAnsi="Microsoft YaHei" w:eastAsia="Microsoft YaHei" w:cs="Microsoft YaHei"/>
          <w:b w:val="0"/>
          <w:color w:val="333333"/>
          <w:sz w:val="24"/>
          <w:u w:val="none"/>
        </w:rPr>
        <w:t>نموذج التسعير والربحية</w:t>
      </w:r>
    </w:p>
    <w:p>
      <w:pPr>
        <w:spacing w:line="240" w:lineRule="auto" w:after="20" w:before="0"/>
        <w:ind w:left="720"/>
      </w:pPr>
      <w:r>
        <w:rPr>
          <w:rFonts w:ascii="Microsoft YaHei" w:hAnsi="Microsoft YaHei" w:eastAsia="Microsoft YaHei" w:cs="Microsoft YaHei"/>
          <w:b w:val="0"/>
          <w:color w:val="333333"/>
          <w:sz w:val="24"/>
          <w:u w:val="none"/>
        </w:rPr>
        <w:t>الشراكة كبوابة دفع للمنصات العالمية (الفكرة المحورية)</w:t>
      </w:r>
    </w:p>
    <w:p>
      <w:pPr>
        <w:spacing w:line="240" w:lineRule="auto" w:after="20" w:before="0"/>
      </w:pPr>
      <w:r>
        <w:rPr>
          <w:rFonts w:ascii="Microsoft YaHei" w:hAnsi="Microsoft YaHei" w:eastAsia="Microsoft YaHei" w:cs="Microsoft YaHei"/>
          <w:b w:val="0"/>
          <w:color w:val="333333"/>
          <w:sz w:val="24"/>
          <w:u w:val="none"/>
        </w:rPr>
        <w:t>المتطلبات التقنية والأمنية للمنصة</w:t>
      </w:r>
      <w:r>
        <w:t xml:space="preserve"> </w:t>
      </w:r>
      <w:r>
        <w:t xml:space="preserve"> </w:t>
      </w:r>
    </w:p>
    <w:p>
      <w:pPr>
        <w:spacing w:line="240" w:lineRule="auto" w:after="20" w:before="0"/>
        <w:ind w:left="720"/>
      </w:pPr>
      <w:r>
        <w:rPr>
          <w:rFonts w:ascii="Microsoft YaHei" w:hAnsi="Microsoft YaHei" w:eastAsia="Microsoft YaHei" w:cs="Microsoft YaHei"/>
          <w:b w:val="0"/>
          <w:color w:val="333333"/>
          <w:sz w:val="24"/>
          <w:u w:val="none"/>
        </w:rPr>
        <w:t>الأدوات التقنية الأساسية (Tech Stack)</w:t>
      </w:r>
    </w:p>
    <w:p>
      <w:pPr>
        <w:spacing w:line="240" w:lineRule="auto" w:after="20" w:before="0"/>
        <w:ind w:left="720"/>
      </w:pPr>
      <w:r>
        <w:rPr>
          <w:rFonts w:ascii="Microsoft YaHei" w:hAnsi="Microsoft YaHei" w:eastAsia="Microsoft YaHei" w:cs="Microsoft YaHei"/>
          <w:b w:val="0"/>
          <w:color w:val="333333"/>
          <w:sz w:val="24"/>
          <w:u w:val="none"/>
        </w:rPr>
        <w:t>أدوات وخيارات الأمان والحماية</w:t>
      </w:r>
    </w:p>
    <w:p>
      <w:pPr>
        <w:spacing w:line="240" w:lineRule="auto" w:after="20" w:before="0"/>
      </w:pPr>
      <w:r>
        <w:rPr>
          <w:rFonts w:ascii="Microsoft YaHei" w:hAnsi="Microsoft YaHei" w:eastAsia="Microsoft YaHei" w:cs="Microsoft YaHei"/>
          <w:b w:val="0"/>
          <w:color w:val="333333"/>
          <w:sz w:val="24"/>
          <w:u w:val="none"/>
        </w:rPr>
        <w:t>الخلاصة والتوصيات النهائية</w:t>
      </w:r>
    </w:p>
    <w:p>
      <w:pPr>
        <w:pStyle w:val="Heading1"/>
        <w:spacing w:after="0" w:before="499"/>
        <w:jc w:val="left"/>
        <w:pBdr>
          <w:bottom w:val="single" w:sz="8" w:space="2" w:color="E0E0E0"/>
        </w:pBdr>
      </w:pPr>
      <w:r>
        <w:rPr>
          <w:rFonts w:ascii="Microsoft YaHei" w:hAnsi="Microsoft YaHei" w:eastAsia="Microsoft YaHei" w:cs="Microsoft YaHei"/>
          <w:color w:val="333333"/>
          <w:sz w:val="38"/>
        </w:rPr>
        <w:t>مقدمة: ثورة البث الرقمي والسياق الإقليمي الواعد</w:t>
      </w:r>
    </w:p>
    <w:p>
      <w:pPr>
        <w:spacing w:after="0" w:before="192"/>
      </w:pPr>
      <w:r>
        <w:rPr>
          <w:rFonts w:ascii="Source Han Sans SC" w:hAnsi="Source Han Sans SC" w:eastAsia="Source Han Sans SC" w:cs="Source Han Sans SC"/>
          <w:b w:val="0"/>
          <w:color w:val="333333"/>
          <w:sz w:val="24"/>
        </w:rPr>
        <w:t>يشهد العالم تحولاً جذرياً في كيفية استهلاك المحتوى الإعلامي والترفيهي. لقد أحدثت ثورة البث الرقمي (Streaming) تغييراً بنيوياً في الصناعة، حيث انتقلت المنافسة من شاشات التلفزيون التقليدية وقنواتها المحددة بجدول زمني صارم، إلى عالم المنصات الرقمية الذي يمنح المشاهد حرية الاختيار المطلقة: ماذا يشاهد، متى، وأين. لم تعد شركات الإنتاج والموزعون هم المتحكمون الوحيدون في المحتوى، بل أصبح المستهلك هو محور الكون الإعلامي الجديد، مدفوعاً بتطور التكنولوجيا وانتشار الإنترنت فائق السرعة.</w:t>
      </w:r>
    </w:p>
    <w:p>
      <w:pPr>
        <w:spacing w:after="0" w:before="192"/>
      </w:pPr>
      <w:r>
        <w:rPr>
          <w:rFonts w:ascii="Source Han Sans SC" w:hAnsi="Source Han Sans SC" w:eastAsia="Source Han Sans SC" w:cs="Source Han Sans SC"/>
          <w:b w:val="0"/>
          <w:color w:val="333333"/>
          <w:sz w:val="24"/>
        </w:rPr>
        <w:t>في هذا المشهد العالمي الديناميكي، تبرز مناطق مثل أفريقيا والشرق الأوسط كساحات تنافسية جديدة وواعدة. تتميز هذه المناطق بتركيبة سكانية فريدة، حيث يشكل الشباب النسبة الأكبر من السكان، وهم الفئة الأكثر إقبالاً على التكنولوجيا والإنترنت. يتزامن هذا مع نمو متسارع في انتشار الهواتف الذكية التي أصبحت البوابة الرئيسية للوصول إلى العالم الرقمي، مما يخلق سوقاً ضخماً ومتعطشاً للمحتوى الرقمي المصمم خصيصاً لتلبية أذواقهم وتطلعاتهم الثقافية.</w:t>
      </w:r>
    </w:p>
    <w:p>
      <w:pPr>
        <w:spacing w:after="0" w:before="192"/>
      </w:pPr>
      <w:r>
        <w:rPr>
          <w:rFonts w:ascii="Source Han Sans SC" w:hAnsi="Source Han Sans SC" w:eastAsia="Source Han Sans SC" w:cs="Source Han Sans SC"/>
          <w:b w:val="0"/>
          <w:color w:val="333333"/>
          <w:sz w:val="24"/>
        </w:rPr>
        <w:t>يهدف هذا البحث إلى تقديم تحليل معمق وشامل لسوق البث الرقمي على المستويين العالمي والإقليمي، مع التركيز بشكل خاص على دراسة الجدوى واستراتيجية إطلاق منصة بث موريتانية رائدة. سيتناول التقرير بالتفصيل نماذج عمل اللاعبين الكبار مثل Netflix واللاعبين الإقليميين الناجحين كـ "شاهد"، مستخلصاً الدروس والعبر التي يمكن تطبيقها في السياق الموريتاني. كما سيجيب على التحديات التقنية، التجارية، والقانونية المرتبطة بتأسيس وتشغيل مثل هذه المنصة، مقدماً خارطة طريق عملية تتضمن استراتيجيات المحتوى، التسعير، والأهم من ذلك، نموذج عمل مبتكر يمكن أن يجعل من المنصة الموريتانية شريكاً لا غنى عنه للمنصات العالمية في المنطقة.</w:t>
      </w:r>
    </w:p>
    <w:p>
      <w:pPr>
        <w:pStyle w:val="Heading1"/>
        <w:spacing w:after="0" w:before="499"/>
        <w:jc w:val="left"/>
        <w:pBdr>
          <w:bottom w:val="single" w:sz="8" w:space="2" w:color="E0E0E0"/>
        </w:pBdr>
      </w:pPr>
      <w:r>
        <w:rPr>
          <w:rFonts w:ascii="Microsoft YaHei" w:hAnsi="Microsoft YaHei" w:eastAsia="Microsoft YaHei" w:cs="Microsoft YaHei"/>
          <w:color w:val="333333"/>
          <w:sz w:val="38"/>
        </w:rPr>
        <w:t>المشهد العالمي والإقليمي لمنصات البث: هيمنة العمالقة وصعود اللاعبين المحليين</w:t>
      </w:r>
    </w:p>
    <w:p>
      <w:pPr>
        <w:spacing w:after="0" w:before="192"/>
      </w:pPr>
      <w:r>
        <w:rPr>
          <w:rFonts w:ascii="Source Han Sans SC" w:hAnsi="Source Han Sans SC" w:eastAsia="Source Han Sans SC" w:cs="Source Han Sans SC"/>
          <w:b w:val="0"/>
          <w:color w:val="333333"/>
          <w:sz w:val="24"/>
        </w:rPr>
        <w:t>لفهم الفرص المتاحة في موريتانيا، لا بد أولاً من تحليل المشهد التنافسي الأوسع. يتسم سوق البث العالمي بهيمنة عدد قليل من الشركات العملاقة، بينما تشهد الأسواق الإقليمية صعوداً لافتاً للاعبين محليين نجحوا في بناء ميزة تنافسية عبر فهمهم العميق لثقافة وخصوصية جمهورهم.</w:t>
      </w:r>
    </w:p>
    <w:p>
      <w:pPr>
        <w:pStyle w:val="Heading2"/>
        <w:spacing w:lineRule="exact" w:line="318" w:after="0" w:before="288"/>
      </w:pPr>
      <w:r>
        <w:rPr>
          <w:rFonts w:ascii="Microsoft YaHei" w:hAnsi="Microsoft YaHei" w:eastAsia="Microsoft YaHei" w:cs="Microsoft YaHei"/>
          <w:color w:val="333333"/>
          <w:sz w:val="28"/>
        </w:rPr>
        <w:t>نظرة عامة على السوق العالمي</w:t>
      </w:r>
    </w:p>
    <w:p>
      <w:pPr>
        <w:spacing w:after="0" w:before="192"/>
      </w:pPr>
      <w:r>
        <w:rPr>
          <w:rFonts w:ascii="Source Han Sans SC" w:hAnsi="Source Han Sans SC" w:eastAsia="Source Han Sans SC" w:cs="Source Han Sans SC"/>
          <w:b w:val="0"/>
          <w:color w:val="333333"/>
          <w:sz w:val="24"/>
        </w:rPr>
        <w:t xml:space="preserve">تهيمن ثلاث شركات كبرى على سوق البث العالمي: Netflix، Amazon Prime Video، و Disney+. تعتبر Netflix الرائدة عالمياً من حيث عدد المشتركين، حيث تجاوزت حاجز </w:t>
      </w:r>
      <w:r>
        <w:t xml:space="preserve"> </w:t>
      </w:r>
      <w:r>
        <w:rPr>
          <w:rFonts w:ascii="Source Han Sans SC" w:hAnsi="Source Han Sans SC" w:eastAsia="Source Han Sans SC" w:cs="Source Han Sans SC"/>
          <w:b w:val="0"/>
          <w:color w:val="333333"/>
          <w:sz w:val="24"/>
        </w:rPr>
        <w:t>301.6 مليون مشترك</w:t>
      </w:r>
      <w:r>
        <w:t xml:space="preserve"> </w:t>
      </w:r>
      <w:r>
        <w:rPr>
          <w:rFonts w:ascii="Source Han Sans SC" w:hAnsi="Source Han Sans SC" w:eastAsia="Source Han Sans SC" w:cs="Source Han Sans SC"/>
          <w:b w:val="0"/>
          <w:color w:val="333333"/>
          <w:sz w:val="24"/>
        </w:rPr>
        <w:t xml:space="preserve"> بنهاية عام 2024، محققة إيرادات بلغت 39 مليار دولار في نفس العام (</w:t>
      </w:r>
      <w:hyperlink r:id="rId9">
        <w:r>
          <w:rPr>
            <w:rFonts w:ascii="Source Han Sans SC" w:hAnsi="Source Han Sans SC" w:eastAsia="Source Han Sans SC" w:cs="Source Han Sans SC"/>
            <w:sz w:val="24"/>
            <w:color w:val="333333"/>
          </w:rPr>
          <w:t>Business of Apps</w:t>
        </w:r>
      </w:hyperlink>
      <w:r>
        <w:rPr>
          <w:rFonts w:ascii="Source Han Sans SC" w:hAnsi="Source Han Sans SC" w:eastAsia="Source Han Sans SC" w:cs="Source Han Sans SC"/>
          <w:b w:val="0"/>
          <w:color w:val="333333"/>
          <w:sz w:val="24"/>
        </w:rPr>
        <w:t xml:space="preserve">, </w:t>
      </w:r>
      <w:hyperlink r:id="rId10">
        <w:r>
          <w:rPr>
            <w:rFonts w:ascii="Source Han Sans SC" w:hAnsi="Source Han Sans SC" w:eastAsia="Source Han Sans SC" w:cs="Source Han Sans SC"/>
            <w:sz w:val="24"/>
            <w:color w:val="333333"/>
          </w:rPr>
          <w:t>FlixPatrol</w:t>
        </w:r>
      </w:hyperlink>
      <w:r>
        <w:rPr>
          <w:rFonts w:ascii="Source Han Sans SC" w:hAnsi="Source Han Sans SC" w:eastAsia="Source Han Sans SC" w:cs="Source Han Sans SC"/>
          <w:b w:val="0"/>
          <w:color w:val="333333"/>
          <w:sz w:val="24"/>
        </w:rPr>
        <w:t>). ومع ذلك، فإن المنافسة شرسة، خاصة في أسواق ناضجة مثل الولايات المتحدة، حيث تتنازع Amazon Prime Video و Netflix على الصدارة بحصص سوقية متقاربة بلغت 22% و 21% على التوالي في عام 2025 (</w:t>
      </w:r>
      <w:hyperlink r:id="rId11">
        <w:r>
          <w:rPr>
            <w:rFonts w:ascii="Source Han Sans SC" w:hAnsi="Source Han Sans SC" w:eastAsia="Source Han Sans SC" w:cs="Source Han Sans SC"/>
            <w:sz w:val="24"/>
            <w:color w:val="333333"/>
          </w:rPr>
          <w:t>Evoca.tv</w:t>
        </w:r>
      </w:hyperlink>
      <w:r>
        <w:rPr>
          <w:rFonts w:ascii="Source Han Sans SC" w:hAnsi="Source Han Sans SC" w:eastAsia="Source Han Sans SC" w:cs="Source Han Sans SC"/>
          <w:b w:val="0"/>
          <w:color w:val="333333"/>
          <w:sz w:val="24"/>
        </w:rPr>
        <w:t>).</w:t>
      </w:r>
    </w:p>
    <w:p>
      <w:pPr>
        <w:jc w:val="center"/>
      </w:pPr>
      <w:r>
        <w:drawing>
          <wp:inline distT="0" distB="0" distL="0" distR="0">
            <wp:extent cx="5486400" cy="3200400"/>
            <wp:effectExtent l="0" t="0" r="0" b="0"/>
            <wp:docPr id="1000" name="Chart 1000"/>
            <wp:cNvGraphicFramePr/>
            <a:graphic>
              <a:graphicData uri="http://schemas.openxmlformats.org/drawingml/2006/chart">
                <c:chart xmlns:r="http://schemas.openxmlformats.org/officeDocument/2006/relationships" r:id="rId33"/>
              </a:graphicData>
            </a:graphic>
          </wp:inline>
        </w:drawing>
      </w:r>
    </w:p>
    <w:p>
      <w:pPr>
        <w:spacing w:after="0"/>
        <w:jc w:val="center"/>
      </w:pPr>
      <w:r>
        <w:rPr>
          <w:rFonts w:ascii="Source Han Sans SC" w:hAnsi="Source Han Sans SC" w:eastAsia="Source Han Sans SC" w:cs="Source Han Sans SC"/>
          <w:color w:val="777777"/>
          <w:sz w:val="20"/>
        </w:rPr>
        <w:t xml:space="preserve">المصدر: </w:t>
      </w:r>
      <w:hyperlink r:id="rId11">
        <w:r>
          <w:rPr>
            <w:rFonts w:ascii="Source Han Sans SC" w:hAnsi="Source Han Sans SC" w:eastAsia="Source Han Sans SC" w:cs="Source Han Sans SC"/>
            <w:sz w:val="20"/>
            <w:color w:val="777777"/>
          </w:rPr>
          <w:t>Statista via Evoca.tv (بيانات 2025)</w:t>
        </w:r>
      </w:hyperlink>
    </w:p>
    <w:p>
      <w:pPr>
        <w:spacing w:after="0" w:before="192"/>
      </w:pPr>
      <w:r>
        <w:rPr>
          <w:rFonts w:ascii="Source Han Sans SC" w:hAnsi="Source Han Sans SC" w:eastAsia="Source Han Sans SC" w:cs="Source Han Sans SC"/>
          <w:b w:val="0"/>
          <w:color w:val="333333"/>
          <w:sz w:val="24"/>
        </w:rPr>
        <w:t>تعتمد استراتيجية هؤلاء العمالقة على عدة ركائز أساسية:</w:t>
      </w:r>
    </w:p>
    <w:p>
      <w:pPr>
        <w:pStyle w:val="ListBullet"/>
        <w:spacing w:line="240" w:lineRule="auto" w:after="20" w:before="0"/>
      </w:pPr>
      <w:r>
        <w:rPr>
          <w:rFonts w:ascii="Source Han Sans SC" w:hAnsi="Source Han Sans SC" w:eastAsia="Source Han Sans SC" w:cs="Source Han Sans SC"/>
          <w:b w:val="0"/>
          <w:color w:val="333333"/>
          <w:sz w:val="24"/>
        </w:rPr>
        <w:t>المحتوى الأصلي (Original Content):</w:t>
      </w:r>
      <w:r>
        <w:t xml:space="preserve"> </w:t>
      </w:r>
      <w:r>
        <w:rPr>
          <w:rFonts w:ascii="Source Han Sans SC" w:hAnsi="Source Han Sans SC" w:eastAsia="Source Han Sans SC" w:cs="Source Han Sans SC"/>
          <w:color w:val="333333"/>
          <w:sz w:val="24"/>
        </w:rPr>
        <w:t xml:space="preserve"> استثمرت Netflix ما يقارب 16 مليار دولار على المحتوى في عام 2024 (</w:t>
      </w:r>
      <w:hyperlink r:id="rId9">
        <w:r>
          <w:rPr>
            <w:rFonts w:ascii="Source Han Sans SC" w:hAnsi="Source Han Sans SC" w:eastAsia="Source Han Sans SC" w:cs="Source Han Sans SC"/>
            <w:sz w:val="24"/>
            <w:color w:val="333333"/>
          </w:rPr>
          <w:t>Business of Apps</w:t>
        </w:r>
      </w:hyperlink>
      <w:r>
        <w:rPr>
          <w:rFonts w:ascii="Source Han Sans SC" w:hAnsi="Source Han Sans SC" w:eastAsia="Source Han Sans SC" w:cs="Source Han Sans SC"/>
          <w:color w:val="333333"/>
          <w:sz w:val="24"/>
        </w:rPr>
        <w:t>). أصبح إنتاج الأفلام والمسلسلات الحصرية هو السلاح الرئيسي في "حروب البث" لجذب المشتركين والاحتفاظ بهم.</w:t>
      </w:r>
    </w:p>
    <w:p>
      <w:pPr>
        <w:pStyle w:val="ListBullet"/>
        <w:spacing w:line="240" w:lineRule="auto" w:after="20" w:before="0"/>
      </w:pPr>
      <w:r>
        <w:rPr>
          <w:rFonts w:ascii="Source Han Sans SC" w:hAnsi="Source Han Sans SC" w:eastAsia="Source Han Sans SC" w:cs="Source Han Sans SC"/>
          <w:b w:val="0"/>
          <w:color w:val="333333"/>
          <w:sz w:val="24"/>
        </w:rPr>
        <w:t>باقات الإعلانات (AVOD):</w:t>
      </w:r>
      <w:r>
        <w:t xml:space="preserve"> </w:t>
      </w:r>
      <w:r>
        <w:rPr>
          <w:rFonts w:ascii="Source Han Sans SC" w:hAnsi="Source Han Sans SC" w:eastAsia="Source Han Sans SC" w:cs="Source Han Sans SC"/>
          <w:color w:val="333333"/>
          <w:sz w:val="24"/>
        </w:rPr>
        <w:t xml:space="preserve"> لمواجهة تشبع السوق وارتفاع تكاليف الاشتراك، أطلقت منصات مثل Netflix و Disney+ باقات أرخص مدعومة بالإعلانات (Advertising-based Video on Demand). وقد نجحت هذه الاستراتيجية، حيث وصل عدد مشتركي باقة الإعلانات في Netflix إلى 70 مليون مشترك في عام 2024.</w:t>
      </w:r>
    </w:p>
    <w:p>
      <w:pPr>
        <w:pStyle w:val="ListBullet"/>
        <w:spacing w:line="240" w:lineRule="auto" w:after="20" w:before="0"/>
      </w:pPr>
      <w:r>
        <w:rPr>
          <w:rFonts w:ascii="Source Han Sans SC" w:hAnsi="Source Han Sans SC" w:eastAsia="Source Han Sans SC" w:cs="Source Han Sans SC"/>
          <w:b w:val="0"/>
          <w:color w:val="333333"/>
          <w:sz w:val="24"/>
        </w:rPr>
        <w:t>التوسع العالمي مع التوطين (Globalization with Localization):</w:t>
      </w:r>
      <w:r>
        <w:t xml:space="preserve"> </w:t>
      </w:r>
      <w:r>
        <w:rPr>
          <w:rFonts w:ascii="Source Han Sans SC" w:hAnsi="Source Han Sans SC" w:eastAsia="Source Han Sans SC" w:cs="Source Han Sans SC"/>
          <w:color w:val="333333"/>
          <w:sz w:val="24"/>
        </w:rPr>
        <w:t xml:space="preserve"> بينما تتوسع هذه المنصات عالمياً، فإنها تدرك بشكل متزايد أهمية إنتاج محتوى محلي بلغات وثقافات مختلفة، وهو ما أدى إلى نجاحات عالمية لأعمال غير ناطقة بالإنجليزية مثل "La Casa de Papel" و "Squid Game".</w:t>
      </w:r>
    </w:p>
    <w:p>
      <w:pPr>
        <w:pStyle w:val="Heading2"/>
        <w:spacing w:lineRule="exact" w:line="318" w:after="0" w:before="288"/>
      </w:pPr>
      <w:r>
        <w:rPr>
          <w:rFonts w:ascii="Microsoft YaHei" w:hAnsi="Microsoft YaHei" w:eastAsia="Microsoft YaHei" w:cs="Microsoft YaHei"/>
          <w:color w:val="333333"/>
          <w:sz w:val="28"/>
        </w:rPr>
        <w:t>تحليل سوق الشرق الأوسط وشمال أفريقيا (MENA)</w:t>
      </w:r>
    </w:p>
    <w:p>
      <w:pPr>
        <w:spacing w:after="0" w:before="192"/>
      </w:pPr>
      <w:r>
        <w:rPr>
          <w:rFonts w:ascii="Source Han Sans SC" w:hAnsi="Source Han Sans SC" w:eastAsia="Source Han Sans SC" w:cs="Source Han Sans SC"/>
          <w:b w:val="0"/>
          <w:color w:val="333333"/>
          <w:sz w:val="24"/>
        </w:rPr>
        <w:t xml:space="preserve">تعتبر منطقة الشرق الأوسط وشمال أفريقيا قصة نجاح ملهمة للاعبين المحليين. على الرغم من وجود العمالقة العالميين، تمكنت منصة "شاهد" (Shahid)، الذراع الرقمي لمجموعة MBC، من فرض هيمنتها كلاعب إقليمي رائد. بحلول نهاية عام 2024، وصلت "شاهد" إلى ما يقارب </w:t>
      </w:r>
      <w:r>
        <w:t xml:space="preserve"> </w:t>
      </w:r>
      <w:r>
        <w:rPr>
          <w:rFonts w:ascii="Source Han Sans SC" w:hAnsi="Source Han Sans SC" w:eastAsia="Source Han Sans SC" w:cs="Source Han Sans SC"/>
          <w:b w:val="0"/>
          <w:color w:val="333333"/>
          <w:sz w:val="24"/>
        </w:rPr>
        <w:t>5 ملايين مشترك</w:t>
      </w:r>
      <w:r>
        <w:t xml:space="preserve"> </w:t>
      </w:r>
      <w:r>
        <w:rPr>
          <w:rFonts w:ascii="Source Han Sans SC" w:hAnsi="Source Han Sans SC" w:eastAsia="Source Han Sans SC" w:cs="Source Han Sans SC"/>
          <w:b w:val="0"/>
          <w:color w:val="333333"/>
          <w:sz w:val="24"/>
        </w:rPr>
        <w:t xml:space="preserve"> في خدمة الفيديو حسب الطلب باشتراك (SVOD)، وتستحوذ على حوالي 25% من حصة السوق في المنطقة (</w:t>
      </w:r>
      <w:hyperlink r:id="rId12">
        <w:r>
          <w:rPr>
            <w:rFonts w:ascii="Source Han Sans SC" w:hAnsi="Source Han Sans SC" w:eastAsia="Source Han Sans SC" w:cs="Source Han Sans SC"/>
            <w:sz w:val="24"/>
            <w:color w:val="333333"/>
          </w:rPr>
          <w:t>LinkedIn</w:t>
        </w:r>
      </w:hyperlink>
      <w:r>
        <w:rPr>
          <w:rFonts w:ascii="Source Han Sans SC" w:hAnsi="Source Han Sans SC" w:eastAsia="Source Han Sans SC" w:cs="Source Han Sans SC"/>
          <w:b w:val="0"/>
          <w:color w:val="333333"/>
          <w:sz w:val="24"/>
        </w:rPr>
        <w:t xml:space="preserve">, </w:t>
      </w:r>
      <w:hyperlink r:id="rId10">
        <w:r>
          <w:rPr>
            <w:rFonts w:ascii="Source Han Sans SC" w:hAnsi="Source Han Sans SC" w:eastAsia="Source Han Sans SC" w:cs="Source Han Sans SC"/>
            <w:sz w:val="24"/>
            <w:color w:val="333333"/>
          </w:rPr>
          <w:t>FlixPatrol</w:t>
        </w:r>
      </w:hyperlink>
      <w:r>
        <w:rPr>
          <w:rFonts w:ascii="Source Han Sans SC" w:hAnsi="Source Han Sans SC" w:eastAsia="Source Han Sans SC" w:cs="Source Han Sans SC"/>
          <w:b w:val="0"/>
          <w:color w:val="333333"/>
          <w:sz w:val="24"/>
        </w:rPr>
        <w:t>). هذا النجاح يثبت بما لا يدع مجالاً للشك أن المحتوى المحلي الذي يتحدث لغة الجمهور ويعكس ثقافته وقضاياه هو مفتاح الفوز في هذه المنطقة.</w:t>
      </w:r>
    </w:p>
    <w:p>
      <w:pPr>
        <w:jc w:val="center"/>
      </w:pPr>
      <w:r>
        <w:drawing>
          <wp:anchor distT="0" distB="107950" distL="107950" distR="107950" simplePos="0" relativeHeight="251659264" behindDoc="0" locked="0" layoutInCell="1" allowOverlap="1">
            <wp:simplePos x="0" y="0"/>
            <wp:positionH relativeFrom="margin">
              <wp:align>right</wp:align>
            </wp:positionH>
            <wp:positionV relativeFrom="line">
              <wp:posOffset>0</wp:posOffset>
            </wp:positionV>
            <wp:extent cx="2969895" cy="1849755"/>
            <wp:effectExtent l="0" t="0" r="0" b="0"/>
            <wp:wrapSquare wrapText="bothSides"/>
            <wp:docPr id="1001" name="Chart 1001"/>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anchor>
        </w:drawing>
      </w:r>
    </w:p>
    <w:p w14:paraId="1001">
      <w:pPr>
        <w:shd w:val="clear" w:color="auto" w:fill="F5F5F5"/>
        <w:spacing w:after="240"/>
      </w:pPr>
      <w:r>
        <w:rPr>
          <w:sz w:val="9"/>
        </w:rPr>
        <mc:AlternateContent>
          <mc:Choice Requires="wps">
            <w:drawing>
              <wp:anchor distT="0" distB="0" distL="114300" distR="114300" simplePos="0" relativeHeight="251660288" behindDoc="0" locked="0" layoutInCell="1" allowOverlap="1">
                <wp:simplePos x="0" y="0"/>
                <wp:positionH relativeFrom="column">
                  <wp:posOffset>2514600</wp:posOffset>
                </wp:positionH>
                <wp:positionV relativeFrom="paragraph">
                  <wp:posOffset>1567815</wp:posOffset>
                </wp:positionV>
                <wp:extent cx="2974975" cy="244475"/>
                <wp:effectExtent l="0" t="0" r="9525" b="9525"/>
                <wp:wrapSquare wrapText="bothSides"/>
                <wp:docPr id="2001" name="文本框 2001"/>
                <wp:cNvGraphicFramePr/>
                <a:graphic xmlns:a="http://schemas.openxmlformats.org/drawingml/2006/main">
                  <a:graphicData uri="http://schemas.microsoft.com/office/word/2010/wordprocessingShape">
                    <wps:wsp>
                      <wps:cNvSpPr txBox="1"/>
                      <wps:spPr>
                        <a:xfrm>
                          <a:off x="0" y="0"/>
                          <a:ext cx="2974975" cy="24447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001">
                            <w:pPr>
                              <w:shd w:val="clear" w:color="auto" w:fill="FFFFFF"/>
                              <w:spacing w:after="450"/>
                              <w:jc w:val="center"/>
                              <w:rPr>
                                <w14:textOutline w14:w="9525">
                                  <w14:round/>
                                </w14:textOutline>
                              </w:rPr>
                            </w:pPr>
                            <w:r>
                              <w:fldChar w:fldCharType="begin"/>
                            </w:r>
                            <w:r>
                              <w:instrText xml:space="preserve"> HYPERLINK "https://www.broadcastprome.com/news/mena-streaming-market-set-to-hit-1-5bn-by-2025-omdia/" \h </w:instrText>
                            </w:r>
                            <w:r>
                              <w:fldChar w:fldCharType="separate"/>
                            </w:r>
                            <w:r>
                              <w:rPr>
                                <w:rFonts w:ascii="Source Han Sans SC" w:hAnsi="Source Han Sans SC" w:eastAsia="Source Han Sans SC" w:cs="Source Han Sans SC"/>
                                <w:color w:val="3498DB"/>
                                <w:sz w:val="15"/>
                              </w:rPr>
                              <w:t>المصدر:Omdia (بيانات ديسمبر 2024)</w:t>
                            </w:r>
                            <w:r>
                              <w:rPr>
                                <w:rFonts w:ascii="Source Han Sans SC" w:hAnsi="Source Han Sans SC" w:eastAsia="Source Han Sans SC" w:cs="Source Han Sans SC"/>
                                <w:color w:val="3498DB"/>
                                <w:sz w:val="15"/>
                              </w:rPr>
                              <w:fldChar w:fldCharType="end"/>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AlternateContent>
      </w:r>
    </w:p>
    <w:p>
      <w:pPr>
        <w:spacing w:after="0" w:before="192"/>
      </w:pPr>
      <w:r>
        <w:rPr>
          <w:rFonts w:ascii="Source Han Sans SC" w:hAnsi="Source Han Sans SC" w:eastAsia="Source Han Sans SC" w:cs="Source Han Sans SC"/>
          <w:b w:val="0"/>
          <w:color w:val="333333"/>
          <w:sz w:val="24"/>
        </w:rPr>
        <w:t>من أبرز الاستراتيجيات المبتكرة في المنطقة هي "التجميع" (Bundling). في خطوة غير مسبوقة في ديسمبر 2025، اتحدت "شاهد" و "Disney+" و "OSN+" لتقديم باقة موحدة في دول مجلس التعاون الخليجي بسعر تنافسي يبلغ حوالي 25 دولارًا شهريًا (</w:t>
      </w:r>
      <w:hyperlink r:id="rId13">
        <w:r>
          <w:rPr>
            <w:rFonts w:ascii="Source Han Sans SC" w:hAnsi="Source Han Sans SC" w:eastAsia="Source Han Sans SC" w:cs="Source Han Sans SC"/>
            <w:sz w:val="24"/>
            <w:color w:val="333333"/>
          </w:rPr>
          <w:t>Variety</w:t>
        </w:r>
      </w:hyperlink>
      <w:r>
        <w:rPr>
          <w:rFonts w:ascii="Source Han Sans SC" w:hAnsi="Source Han Sans SC" w:eastAsia="Source Han Sans SC" w:cs="Source Han Sans SC"/>
          <w:b w:val="0"/>
          <w:color w:val="333333"/>
          <w:sz w:val="24"/>
        </w:rPr>
        <w:t>). هذا النموذج يقلل من "إرهاق الاشتراك" (Subscription Fatigue) لدى المستهلك ويوفر قيمة مضافة، مما يجعله نموذجاً جذاباً يمكن تكراره في أسواق أخرى.</w:t>
      </w:r>
    </w:p>
    <w:p>
      <w:pPr>
        <w:spacing w:after="0" w:before="192"/>
      </w:pPr>
      <w:r>
        <w:rPr>
          <w:rFonts w:ascii="Source Han Sans SC" w:hAnsi="Source Han Sans SC" w:eastAsia="Source Han Sans SC" w:cs="Source Han Sans SC"/>
          <w:b w:val="0"/>
          <w:color w:val="333333"/>
          <w:sz w:val="24"/>
        </w:rPr>
        <w:t xml:space="preserve">يشهد السوق نمواً هائلاً، حيث تشير توقعات شركة Omdia للأبحاث إلى أن حجم سوق الفيديو عبر الإنترنت في منطقة الشرق الأوسط وشمال أفريقيا سينمو من </w:t>
      </w:r>
      <w:r>
        <w:t xml:space="preserve"> </w:t>
      </w:r>
      <w:r>
        <w:rPr>
          <w:rFonts w:ascii="Source Han Sans SC" w:hAnsi="Source Han Sans SC" w:eastAsia="Source Han Sans SC" w:cs="Source Han Sans SC"/>
          <w:b w:val="0"/>
          <w:color w:val="333333"/>
          <w:sz w:val="24"/>
        </w:rPr>
        <w:t>1.5 مليار دولار في عام 2025 إلى 8.4 مليار دولار بحلول عام 2029</w:t>
      </w:r>
      <w:r>
        <w:rPr>
          <w:rFonts w:ascii="Source Han Sans SC" w:hAnsi="Source Han Sans SC" w:eastAsia="Source Han Sans SC" w:cs="Source Han Sans SC"/>
          <w:b w:val="0"/>
          <w:color w:val="333333"/>
          <w:sz w:val="24"/>
        </w:rPr>
        <w:t>، مدفوعاً بالبنية التحتية الرقمية المتنامية، والانتشار الواسع للهواتف المحمولة، والتركيبة السكانية الشابة (</w:t>
      </w:r>
      <w:hyperlink r:id="rId14">
        <w:r>
          <w:rPr>
            <w:rFonts w:ascii="Source Han Sans SC" w:hAnsi="Source Han Sans SC" w:eastAsia="Source Han Sans SC" w:cs="Source Han Sans SC"/>
            <w:sz w:val="24"/>
            <w:color w:val="333333"/>
          </w:rPr>
          <w:t>Omdia</w:t>
        </w:r>
      </w:hyperlink>
      <w:r>
        <w:rPr>
          <w:rFonts w:ascii="Source Han Sans SC" w:hAnsi="Source Han Sans SC" w:eastAsia="Source Han Sans SC" w:cs="Source Han Sans SC"/>
          <w:b w:val="0"/>
          <w:color w:val="333333"/>
          <w:sz w:val="24"/>
        </w:rPr>
        <w:t>).</w:t>
      </w:r>
    </w:p>
    <w:p/>
    <w:p>
      <w:pPr>
        <w:pStyle w:val="Heading2"/>
        <w:spacing w:lineRule="exact" w:line="318" w:after="0" w:before="288"/>
      </w:pPr>
      <w:r>
        <w:rPr>
          <w:rFonts w:ascii="Microsoft YaHei" w:hAnsi="Microsoft YaHei" w:eastAsia="Microsoft YaHei" w:cs="Microsoft YaHei"/>
          <w:color w:val="333333"/>
          <w:sz w:val="28"/>
        </w:rPr>
        <w:t>تحليل سوق أفريقيا جنوب الصحراء</w:t>
      </w:r>
    </w:p>
    <w:p>
      <w:pPr>
        <w:spacing w:after="0" w:before="192"/>
      </w:pPr>
      <w:r>
        <w:rPr>
          <w:rFonts w:ascii="Source Han Sans SC" w:hAnsi="Source Han Sans SC" w:eastAsia="Source Han Sans SC" w:cs="Source Han Sans SC"/>
          <w:b w:val="0"/>
          <w:color w:val="333333"/>
          <w:sz w:val="24"/>
        </w:rPr>
        <w:t>إذا كانت منطقة الشرق الأوسط وشمال أفريقيا سوقاً مزدهراً، فإن أفريقيا جنوب الصحراء هي "الحدود الجديدة" (The New Frontier) لصناعة البث الرقمي. إنه سوق ضخم، شاب، ويعتمد بشكل شبه كلي على الهاتف المحمول (Mobile-first)، مما يمثل فرصة هائلة وتحديات فريدة في آن واحد. تقدر شركة Mordor Intelligence أن سوق الفيديو حسب الطلب باشتراك (SVOD) في أفريقيا حقق إيرادات بلغت 3.04 مليار دولار في عام 2025، ومن المتوقع أن ينمو بمعدل نمو سنوي مركب (CAGR) يبلغ 8.54% حتى عام 2030 (</w:t>
      </w:r>
      <w:hyperlink r:id="rId15">
        <w:r>
          <w:rPr>
            <w:rFonts w:ascii="Source Han Sans SC" w:hAnsi="Source Han Sans SC" w:eastAsia="Source Han Sans SC" w:cs="Source Han Sans SC"/>
            <w:sz w:val="24"/>
            <w:color w:val="333333"/>
          </w:rPr>
          <w:t>Mordor Intelligence</w:t>
        </w:r>
      </w:hyperlink>
      <w:r>
        <w:rPr>
          <w:rFonts w:ascii="Source Han Sans SC" w:hAnsi="Source Han Sans SC" w:eastAsia="Source Han Sans SC" w:cs="Source Han Sans SC"/>
          <w:b w:val="0"/>
          <w:color w:val="333333"/>
          <w:sz w:val="24"/>
        </w:rPr>
        <w:t>).</w:t>
      </w:r>
    </w:p>
    <w:p>
      <w:pPr>
        <w:spacing w:after="0" w:before="192"/>
      </w:pPr>
      <w:r>
        <w:rPr>
          <w:rFonts w:ascii="Source Han Sans SC" w:hAnsi="Source Han Sans SC" w:eastAsia="Source Han Sans SC" w:cs="Source Han Sans SC"/>
          <w:b w:val="0"/>
          <w:color w:val="333333"/>
          <w:sz w:val="24"/>
        </w:rPr>
        <w:t>تتعدد محركات النمو في القارة، ولكن يمكن تلخيصها في النقاط التالية:</w:t>
      </w:r>
    </w:p>
    <w:p>
      <w:pPr>
        <w:pStyle w:val="ListBullet"/>
        <w:spacing w:line="240" w:lineRule="auto" w:after="20" w:before="0"/>
      </w:pPr>
      <w:r>
        <w:rPr>
          <w:rFonts w:ascii="Source Han Sans SC" w:hAnsi="Source Han Sans SC" w:eastAsia="Source Han Sans SC" w:cs="Source Han Sans SC"/>
          <w:b w:val="0"/>
          <w:color w:val="333333"/>
          <w:sz w:val="24"/>
        </w:rPr>
        <w:t>انتشار الهواتف الذكية:</w:t>
      </w:r>
      <w:r>
        <w:t xml:space="preserve"> </w:t>
      </w:r>
      <w:r>
        <w:rPr>
          <w:rFonts w:ascii="Source Han Sans SC" w:hAnsi="Source Han Sans SC" w:eastAsia="Source Han Sans SC" w:cs="Source Han Sans SC"/>
          <w:color w:val="333333"/>
          <w:sz w:val="24"/>
        </w:rPr>
        <w:t xml:space="preserve"> من المتوقع أن يرتفع عدد اتصالات الهواتف الذكية من 540 مليون في 2024 إلى 890 مليون بحلول 2030.</w:t>
      </w:r>
    </w:p>
    <w:p>
      <w:pPr>
        <w:pStyle w:val="ListBullet"/>
        <w:spacing w:line="240" w:lineRule="auto" w:after="20" w:before="0"/>
      </w:pPr>
      <w:r>
        <w:rPr>
          <w:rFonts w:ascii="Source Han Sans SC" w:hAnsi="Source Han Sans SC" w:eastAsia="Source Han Sans SC" w:cs="Source Han Sans SC"/>
          <w:b w:val="0"/>
          <w:color w:val="333333"/>
          <w:sz w:val="24"/>
        </w:rPr>
        <w:t>باقات الإنترنت ميسورة التكلفة:</w:t>
      </w:r>
      <w:r>
        <w:t xml:space="preserve"> </w:t>
      </w:r>
      <w:r>
        <w:rPr>
          <w:rFonts w:ascii="Source Han Sans SC" w:hAnsi="Source Han Sans SC" w:eastAsia="Source Han Sans SC" w:cs="Source Han Sans SC"/>
          <w:color w:val="333333"/>
          <w:sz w:val="24"/>
        </w:rPr>
        <w:t xml:space="preserve"> تلعب شركات الاتصالات دوراً محورياً عبر تقديم باقات بيانات مخصصة للبث الرقمي.</w:t>
      </w:r>
    </w:p>
    <w:p>
      <w:pPr>
        <w:pStyle w:val="ListBullet"/>
        <w:spacing w:line="240" w:lineRule="auto" w:after="20" w:before="0"/>
      </w:pPr>
      <w:r>
        <w:rPr>
          <w:rFonts w:ascii="Source Han Sans SC" w:hAnsi="Source Han Sans SC" w:eastAsia="Source Han Sans SC" w:cs="Source Han Sans SC"/>
          <w:b w:val="0"/>
          <w:color w:val="333333"/>
          <w:sz w:val="24"/>
        </w:rPr>
        <w:t>الاستثمار في المحتوى المحلي:</w:t>
      </w:r>
      <w:r>
        <w:t xml:space="preserve"> </w:t>
      </w:r>
      <w:r>
        <w:rPr>
          <w:rFonts w:ascii="Source Han Sans SC" w:hAnsi="Source Han Sans SC" w:eastAsia="Source Han Sans SC" w:cs="Source Han Sans SC"/>
          <w:color w:val="333333"/>
          <w:sz w:val="24"/>
        </w:rPr>
        <w:t xml:space="preserve"> أثبتت منصات مثل Showmax (التابعة لـ MultiChoice) أن المحتوى الأفريقي الأصيل (مثل دراما "نوليوود" النيجيرية وأعمال جنوب أفريقيا) هو المحرك الأقوى للاشتراكات.</w:t>
      </w:r>
    </w:p>
    <w:p>
      <w:pPr>
        <w:pStyle w:val="ListBullet"/>
        <w:spacing w:line="240" w:lineRule="auto" w:after="20" w:before="0"/>
      </w:pPr>
      <w:r>
        <w:rPr>
          <w:rFonts w:ascii="Source Han Sans SC" w:hAnsi="Source Han Sans SC" w:eastAsia="Source Han Sans SC" w:cs="Source Han Sans SC"/>
          <w:b w:val="0"/>
          <w:color w:val="333333"/>
          <w:sz w:val="24"/>
        </w:rPr>
        <w:t>الشراكات الاستراتيجية:</w:t>
      </w:r>
      <w:r>
        <w:t xml:space="preserve"> </w:t>
      </w:r>
      <w:r>
        <w:rPr>
          <w:rFonts w:ascii="Source Han Sans SC" w:hAnsi="Source Han Sans SC" w:eastAsia="Source Han Sans SC" w:cs="Source Han Sans SC"/>
          <w:color w:val="333333"/>
          <w:sz w:val="24"/>
        </w:rPr>
        <w:t xml:space="preserve"> تعتمد المنصات العالمية على الشراكات للتوسع. أبرز مثال هو اتفاقية Netflix مع Canal+ في يونيو 2025، والتي ستضيف ما يقدر بـ </w:t>
      </w:r>
      <w:r>
        <w:t xml:space="preserve"> </w:t>
      </w:r>
      <w:r>
        <w:rPr>
          <w:rFonts w:ascii="Source Han Sans SC" w:hAnsi="Source Han Sans SC" w:eastAsia="Source Han Sans SC" w:cs="Source Han Sans SC"/>
          <w:b w:val="0"/>
          <w:color w:val="333333"/>
          <w:sz w:val="24"/>
        </w:rPr>
        <w:t>8.2 مليون مشترك جديد</w:t>
      </w:r>
      <w:r>
        <w:t xml:space="preserve"> </w:t>
      </w:r>
      <w:r>
        <w:rPr>
          <w:rFonts w:ascii="Source Han Sans SC" w:hAnsi="Source Han Sans SC" w:eastAsia="Source Han Sans SC" w:cs="Source Han Sans SC"/>
          <w:color w:val="333333"/>
          <w:sz w:val="24"/>
        </w:rPr>
        <w:t xml:space="preserve"> لـ Netflix في 24 دولة أفريقية ناطقة بالفرنسية (</w:t>
      </w:r>
      <w:hyperlink r:id="rId16">
        <w:r>
          <w:rPr>
            <w:rFonts w:ascii="Source Han Sans SC" w:hAnsi="Source Han Sans SC" w:eastAsia="Source Han Sans SC" w:cs="Source Han Sans SC"/>
            <w:sz w:val="24"/>
            <w:color w:val="333333"/>
          </w:rPr>
          <w:t>Media Play News</w:t>
        </w:r>
      </w:hyperlink>
      <w:r>
        <w:rPr>
          <w:rFonts w:ascii="Source Han Sans SC" w:hAnsi="Source Han Sans SC" w:eastAsia="Source Han Sans SC" w:cs="Source Han Sans SC"/>
          <w:color w:val="333333"/>
          <w:sz w:val="24"/>
        </w:rPr>
        <w:t>).</w:t>
      </w:r>
    </w:p>
    <w:p>
      <w:pPr>
        <w:jc w:val="center"/>
      </w:pPr>
      <w:r>
        <w:drawing>
          <wp:inline distT="0" distB="0" distL="0" distR="0">
            <wp:extent cx="5486400" cy="3200400"/>
            <wp:effectExtent l="0" t="0" r="0" b="0"/>
            <wp:docPr id="1002" name="Chart 1002"/>
            <wp:cNvGraphicFramePr/>
            <a:graphic>
              <a:graphicData uri="http://schemas.openxmlformats.org/drawingml/2006/chart">
                <c:chart xmlns:r="http://schemas.openxmlformats.org/officeDocument/2006/relationships" r:id="rId35"/>
              </a:graphicData>
            </a:graphic>
          </wp:inline>
        </w:drawing>
      </w:r>
    </w:p>
    <w:p>
      <w:pPr>
        <w:spacing w:after="0"/>
        <w:jc w:val="center"/>
      </w:pPr>
      <w:r>
        <w:rPr>
          <w:rFonts w:ascii="Source Han Sans SC" w:hAnsi="Source Han Sans SC" w:eastAsia="Source Han Sans SC" w:cs="Source Han Sans SC"/>
          <w:color w:val="777777"/>
          <w:sz w:val="20"/>
        </w:rPr>
        <w:t xml:space="preserve">المصدر: </w:t>
      </w:r>
      <w:hyperlink r:id="rId15">
        <w:r>
          <w:rPr>
            <w:rFonts w:ascii="Source Han Sans SC" w:hAnsi="Source Han Sans SC" w:eastAsia="Source Han Sans SC" w:cs="Source Han Sans SC"/>
            <w:sz w:val="20"/>
            <w:color w:val="777777"/>
          </w:rPr>
          <w:t>Mordor Intelligence (بيانات 2025)</w:t>
        </w:r>
      </w:hyperlink>
    </w:p>
    <w:p>
      <w:pPr>
        <w:spacing w:after="0" w:before="192"/>
      </w:pPr>
      <w:r>
        <w:rPr>
          <w:rFonts w:ascii="Source Han Sans SC" w:hAnsi="Source Han Sans SC" w:eastAsia="Source Han Sans SC" w:cs="Source Han Sans SC"/>
          <w:b w:val="0"/>
          <w:color w:val="333333"/>
          <w:sz w:val="24"/>
        </w:rPr>
        <w:t>ومع ذلك، تواجه السوق الأفريقية تحديات هيكلية لا يمكن تجاهلها:</w:t>
      </w:r>
    </w:p>
    <w:p>
      <w:pPr>
        <w:pStyle w:val="ListBullet"/>
        <w:spacing w:line="240" w:lineRule="auto" w:after="20" w:before="0"/>
      </w:pPr>
      <w:r>
        <w:rPr>
          <w:rFonts w:ascii="Source Han Sans SC" w:hAnsi="Source Han Sans SC" w:eastAsia="Source Han Sans SC" w:cs="Source Han Sans SC"/>
          <w:b w:val="0"/>
          <w:color w:val="333333"/>
          <w:sz w:val="24"/>
        </w:rPr>
        <w:t>التكلفة مقابل متوسط الدخل (ARPU):</w:t>
      </w:r>
      <w:r>
        <w:t xml:space="preserve"> </w:t>
      </w:r>
      <w:r>
        <w:rPr>
          <w:rFonts w:ascii="Source Han Sans SC" w:hAnsi="Source Han Sans SC" w:eastAsia="Source Han Sans SC" w:cs="Source Han Sans SC"/>
          <w:color w:val="333333"/>
          <w:sz w:val="24"/>
        </w:rPr>
        <w:t xml:space="preserve"> يظل سعر الاشتراك مرتفعاً مقارنة بمتوسط دخل الفرد، مما يجعل المنصات تبتكر نماذج تسعير مرنة مثل الباقات المخصصة للهاتف المحمول فقط (Mobile-only plans).</w:t>
      </w:r>
    </w:p>
    <w:p>
      <w:pPr>
        <w:pStyle w:val="ListBullet"/>
        <w:spacing w:line="240" w:lineRule="auto" w:after="20" w:before="0"/>
      </w:pPr>
      <w:r>
        <w:rPr>
          <w:rFonts w:ascii="Source Han Sans SC" w:hAnsi="Source Han Sans SC" w:eastAsia="Source Han Sans SC" w:cs="Source Han Sans SC"/>
          <w:b w:val="0"/>
          <w:color w:val="333333"/>
          <w:sz w:val="24"/>
        </w:rPr>
        <w:t>البنية التحتية:</w:t>
      </w:r>
      <w:r>
        <w:t xml:space="preserve"> </w:t>
      </w:r>
      <w:r>
        <w:rPr>
          <w:rFonts w:ascii="Source Han Sans SC" w:hAnsi="Source Han Sans SC" w:eastAsia="Source Han Sans SC" w:cs="Source Han Sans SC"/>
          <w:color w:val="333333"/>
          <w:sz w:val="24"/>
        </w:rPr>
        <w:t xml:space="preserve"> خارج المدن الكبرى، لا يزال الاتصال بالإنترنت ضعيفاً وغير مستقر، مما يعيق تجربة المشاهدة بجودة عالية.</w:t>
      </w:r>
    </w:p>
    <w:p>
      <w:pPr>
        <w:pStyle w:val="ListBullet"/>
        <w:spacing w:line="240" w:lineRule="auto" w:after="20" w:before="0"/>
      </w:pPr>
      <w:r>
        <w:rPr>
          <w:rFonts w:ascii="Source Han Sans SC" w:hAnsi="Source Han Sans SC" w:eastAsia="Source Han Sans SC" w:cs="Source Han Sans SC"/>
          <w:b w:val="0"/>
          <w:color w:val="333333"/>
          <w:sz w:val="24"/>
        </w:rPr>
        <w:t>القرصنة:</w:t>
      </w:r>
      <w:r>
        <w:t xml:space="preserve"> </w:t>
      </w:r>
      <w:r>
        <w:rPr>
          <w:rFonts w:ascii="Source Han Sans SC" w:hAnsi="Source Han Sans SC" w:eastAsia="Source Han Sans SC" w:cs="Source Han Sans SC"/>
          <w:color w:val="333333"/>
          <w:sz w:val="24"/>
        </w:rPr>
        <w:t xml:space="preserve"> تنتشر القرصنة على نطاق واسع عبر أجهزة البث غير المشروعة وتطبيقات مثل Telegram، مما يؤثر سلباً على إيرادات المنصات.</w:t>
      </w:r>
    </w:p>
    <w:p>
      <w:pPr>
        <w:pStyle w:val="ListBullet"/>
        <w:spacing w:line="240" w:lineRule="auto" w:after="20" w:before="0"/>
      </w:pPr>
      <w:r>
        <w:rPr>
          <w:rFonts w:ascii="Source Han Sans SC" w:hAnsi="Source Han Sans SC" w:eastAsia="Source Han Sans SC" w:cs="Source Han Sans SC"/>
          <w:b w:val="0"/>
          <w:color w:val="333333"/>
          <w:sz w:val="24"/>
        </w:rPr>
        <w:t>الدفع:</w:t>
      </w:r>
      <w:r>
        <w:t xml:space="preserve"> </w:t>
      </w:r>
      <w:r>
        <w:rPr>
          <w:rFonts w:ascii="Source Han Sans SC" w:hAnsi="Source Han Sans SC" w:eastAsia="Source Han Sans SC" w:cs="Source Han Sans SC"/>
          <w:color w:val="333333"/>
          <w:sz w:val="24"/>
        </w:rPr>
        <w:t xml:space="preserve"> يمثل غياب البطاقات البنكية الدولية لدى غالبية السكان عائقاً كبيراً أمام نماذج الاشتراك، مما يدفع المنصات للبحث عن حلول بديلة مثل الدفع عبر فواتير الهاتف المحمول (Carrier Billing).</w:t>
      </w:r>
    </w:p>
    <w:p>
      <w:pPr>
        <w:jc w:val="center"/>
      </w:pPr>
      <w:r>
        <w:drawing>
          <wp:inline distT="0" distB="0" distL="0" distR="0">
            <wp:extent cx="5486400" cy="3200400"/>
            <wp:effectExtent l="0" t="0" r="0" b="0"/>
            <wp:docPr id="1003" name="Chart 1003"/>
            <wp:cNvGraphicFramePr/>
            <a:graphic>
              <a:graphicData uri="http://schemas.openxmlformats.org/drawingml/2006/chart">
                <c:chart xmlns:r="http://schemas.openxmlformats.org/officeDocument/2006/relationships" r:id="rId36"/>
              </a:graphicData>
            </a:graphic>
          </wp:inline>
        </w:drawing>
      </w:r>
    </w:p>
    <w:p>
      <w:pPr>
        <w:spacing w:after="0"/>
        <w:jc w:val="center"/>
      </w:pPr>
      <w:r>
        <w:rPr>
          <w:rFonts w:ascii="Source Han Sans SC" w:hAnsi="Source Han Sans SC" w:eastAsia="Source Han Sans SC" w:cs="Source Han Sans SC"/>
          <w:color w:val="777777"/>
          <w:sz w:val="20"/>
        </w:rPr>
        <w:t xml:space="preserve">المصدر: </w:t>
      </w:r>
      <w:hyperlink r:id="rId15">
        <w:r>
          <w:rPr>
            <w:rFonts w:ascii="Source Han Sans SC" w:hAnsi="Source Han Sans SC" w:eastAsia="Source Han Sans SC" w:cs="Source Han Sans SC"/>
            <w:sz w:val="20"/>
            <w:color w:val="777777"/>
          </w:rPr>
          <w:t>Mordor Intelligence (بيانات 2025)</w:t>
        </w:r>
      </w:hyperlink>
    </w:p>
    <w:p>
      <w:pPr>
        <w:pStyle w:val="Heading3"/>
        <w:shd w:val="clear" w:color="auto" w:fill="eef4ff"/>
        <w:spacing w:lineRule="exact" w:line="292" w:after="0"/>
      </w:pPr>
      <w:r>
        <w:rPr>
          <w:rFonts w:ascii="Microsoft YaHei" w:hAnsi="Microsoft YaHei" w:eastAsia="Microsoft YaHei" w:cs="Microsoft YaHei"/>
          <w:i w:val="0"/>
          <w:color w:val="333333"/>
          <w:sz w:val="26"/>
        </w:rPr>
        <w:t>نقاط رئيسية</w:t>
      </w:r>
    </w:p>
    <w:p>
      <w:pPr>
        <w:pStyle w:val="ListBullet"/>
        <w:shd w:val="clear" w:color="auto" w:fill="eef4ff"/>
        <w:spacing w:line="240" w:lineRule="auto" w:after="20" w:before="0"/>
      </w:pPr>
      <w:r>
        <w:rPr>
          <w:rFonts w:ascii="Source Han Sans SC" w:hAnsi="Source Han Sans SC" w:eastAsia="Source Han Sans SC" w:cs="Source Han Sans SC"/>
          <w:b w:val="0"/>
          <w:color w:val="333333"/>
          <w:sz w:val="24"/>
        </w:rPr>
        <w:t>السوق العالمي:</w:t>
      </w:r>
      <w:r>
        <w:t xml:space="preserve"> </w:t>
      </w:r>
      <w:r>
        <w:rPr>
          <w:rFonts w:ascii="Source Han Sans SC" w:hAnsi="Source Han Sans SC" w:eastAsia="Source Han Sans SC" w:cs="Source Han Sans SC"/>
          <w:color w:val="333333"/>
          <w:sz w:val="24"/>
        </w:rPr>
        <w:t xml:space="preserve"> تهيمن عليه Netflix و Amazon Prime و Disney+، مع التركيز على المحتوى الأصلي والباقات الإعلانية.</w:t>
      </w:r>
    </w:p>
    <w:p>
      <w:pPr>
        <w:pStyle w:val="ListBullet"/>
        <w:shd w:val="clear" w:color="auto" w:fill="eef4ff"/>
        <w:spacing w:line="240" w:lineRule="auto" w:after="20" w:before="0"/>
      </w:pPr>
      <w:r>
        <w:rPr>
          <w:rFonts w:ascii="Source Han Sans SC" w:hAnsi="Source Han Sans SC" w:eastAsia="Source Han Sans SC" w:cs="Source Han Sans SC"/>
          <w:b w:val="0"/>
          <w:color w:val="333333"/>
          <w:sz w:val="24"/>
        </w:rPr>
        <w:t>سوق MENA:</w:t>
      </w:r>
      <w:r>
        <w:t xml:space="preserve"> </w:t>
      </w:r>
      <w:r>
        <w:rPr>
          <w:rFonts w:ascii="Source Han Sans SC" w:hAnsi="Source Han Sans SC" w:eastAsia="Source Han Sans SC" w:cs="Source Han Sans SC"/>
          <w:color w:val="333333"/>
          <w:sz w:val="24"/>
        </w:rPr>
        <w:t xml:space="preserve"> يقوده لاعبون محليون مثل "شاهد" بفضل المحتوى المحلي، مع نمو هائل متوقع وابتكارات في نماذج التجميع.</w:t>
      </w:r>
    </w:p>
    <w:p>
      <w:pPr>
        <w:pStyle w:val="ListBullet"/>
        <w:shd w:val="clear" w:color="auto" w:fill="eef4ff"/>
        <w:spacing w:line="240" w:lineRule="auto" w:after="20" w:before="0"/>
      </w:pPr>
      <w:r>
        <w:rPr>
          <w:rFonts w:ascii="Source Han Sans SC" w:hAnsi="Source Han Sans SC" w:eastAsia="Source Han Sans SC" w:cs="Source Han Sans SC"/>
          <w:b w:val="0"/>
          <w:color w:val="333333"/>
          <w:sz w:val="24"/>
        </w:rPr>
        <w:t>سوق أفريقيا:</w:t>
      </w:r>
      <w:r>
        <w:t xml:space="preserve"> </w:t>
      </w:r>
      <w:r>
        <w:rPr>
          <w:rFonts w:ascii="Source Han Sans SC" w:hAnsi="Source Han Sans SC" w:eastAsia="Source Han Sans SC" w:cs="Source Han Sans SC"/>
          <w:color w:val="333333"/>
          <w:sz w:val="24"/>
        </w:rPr>
        <w:t xml:space="preserve"> سوق واعد يعتمد على الهاتف المحمول، لكنه يواجه تحديات في البنية التحتية، القدرة على تحمل التكاليف، والقرصنة. الشراكات والمحتوى المحلي هما مفتاح النجاح.</w:t>
      </w:r>
    </w:p>
    <w:p>
      <w:pPr>
        <w:pStyle w:val="Heading1"/>
        <w:spacing w:after="0" w:before="499"/>
        <w:jc w:val="left"/>
        <w:pBdr>
          <w:bottom w:val="single" w:sz="8" w:space="2" w:color="E0E0E0"/>
        </w:pBdr>
      </w:pPr>
      <w:r>
        <w:rPr>
          <w:rFonts w:ascii="Microsoft YaHei" w:hAnsi="Microsoft YaHei" w:eastAsia="Microsoft YaHei" w:cs="Microsoft YaHei"/>
          <w:color w:val="333333"/>
          <w:sz w:val="38"/>
        </w:rPr>
        <w:t>السوق الموريتاني: فرصة غير مستغلة في قلب التحول الرقمي</w:t>
      </w:r>
    </w:p>
    <w:p>
      <w:pPr>
        <w:spacing w:after="0" w:before="192"/>
      </w:pPr>
      <w:r>
        <w:rPr>
          <w:rFonts w:ascii="Source Han Sans SC" w:hAnsi="Source Han Sans SC" w:eastAsia="Source Han Sans SC" w:cs="Source Han Sans SC"/>
          <w:b w:val="0"/>
          <w:color w:val="333333"/>
          <w:sz w:val="24"/>
        </w:rPr>
        <w:t>في خضم هذه التحولات العالمية والإقليمية، يبرز السوق الموريتاني كحالة دراسية فريدة. فهو يجمع بين خصائص الأسواق الناشئة في أفريقيا، مع ديناميكيات اجتماعية واقتصادية خاصة به، مما يخلق بيئة مليئة بالفرص غير المستغلة لمنصة بث رقمي تفهم خصوصية هذا السوق.</w:t>
      </w:r>
    </w:p>
    <w:p>
      <w:pPr>
        <w:pStyle w:val="Heading2"/>
        <w:spacing w:lineRule="exact" w:line="318" w:after="0" w:before="288"/>
      </w:pPr>
      <w:r>
        <w:rPr>
          <w:rFonts w:ascii="Microsoft YaHei" w:hAnsi="Microsoft YaHei" w:eastAsia="Microsoft YaHei" w:cs="Microsoft YaHei"/>
          <w:color w:val="333333"/>
          <w:sz w:val="28"/>
        </w:rPr>
        <w:t>الواقع الرقمي في موريتانيا</w:t>
      </w:r>
    </w:p>
    <w:p>
      <w:pPr>
        <w:spacing w:after="0" w:before="192"/>
      </w:pPr>
      <w:r>
        <w:rPr>
          <w:rFonts w:ascii="Source Han Sans SC" w:hAnsi="Source Han Sans SC" w:eastAsia="Source Han Sans SC" w:cs="Source Han Sans SC"/>
          <w:b w:val="0"/>
          <w:color w:val="333333"/>
          <w:sz w:val="24"/>
        </w:rPr>
        <w:t xml:space="preserve">لفهم حجم الفرصة، يجب أولاً تحليل الواقع الرقمي في البلاد. تتميز موريتانيا بمجتمع شاب جداً، حيث يبلغ متوسط العمر </w:t>
      </w:r>
      <w:r>
        <w:t xml:space="preserve"> </w:t>
      </w:r>
      <w:r>
        <w:rPr>
          <w:rFonts w:ascii="Source Han Sans SC" w:hAnsi="Source Han Sans SC" w:eastAsia="Source Han Sans SC" w:cs="Source Han Sans SC"/>
          <w:b w:val="0"/>
          <w:color w:val="333333"/>
          <w:sz w:val="24"/>
        </w:rPr>
        <w:t>18 عاماً فقط</w:t>
      </w:r>
      <w:r>
        <w:rPr>
          <w:rFonts w:ascii="Source Han Sans SC" w:hAnsi="Source Han Sans SC" w:eastAsia="Source Han Sans SC" w:cs="Source Han Sans SC"/>
          <w:b w:val="0"/>
          <w:color w:val="333333"/>
          <w:sz w:val="24"/>
        </w:rPr>
        <w:t>، وأكثر من 48% من السكان تحت سن 18 عاماً (</w:t>
      </w:r>
      <w:hyperlink r:id="rId17">
        <w:r>
          <w:rPr>
            <w:rFonts w:ascii="Source Han Sans SC" w:hAnsi="Source Han Sans SC" w:eastAsia="Source Han Sans SC" w:cs="Source Han Sans SC"/>
            <w:sz w:val="24"/>
            <w:color w:val="333333"/>
          </w:rPr>
          <w:t>DataReportal 2024</w:t>
        </w:r>
      </w:hyperlink>
      <w:r>
        <w:rPr>
          <w:rFonts w:ascii="Source Han Sans SC" w:hAnsi="Source Han Sans SC" w:eastAsia="Source Han Sans SC" w:cs="Source Han Sans SC"/>
          <w:b w:val="0"/>
          <w:color w:val="333333"/>
          <w:sz w:val="24"/>
        </w:rPr>
        <w:t>). هذه الفئة السكانية هي المستهلك الطبيعي للمحتوى الرقمي ووسائل التواصل الاجتماعي، وهي منفتحة على تبني التقنيات الجديدة.</w:t>
      </w:r>
    </w:p>
    <w:p>
      <w:pPr>
        <w:jc w:val="center"/>
      </w:pPr>
      <w:r>
        <w:drawing>
          <wp:anchor distT="0" distB="107950" distL="107950" distR="107950" simplePos="0" relativeHeight="251659264" behindDoc="0" locked="0" layoutInCell="1" allowOverlap="1">
            <wp:simplePos x="0" y="0"/>
            <wp:positionH relativeFrom="margin">
              <wp:align>right</wp:align>
            </wp:positionH>
            <wp:positionV relativeFrom="line">
              <wp:posOffset>0</wp:posOffset>
            </wp:positionV>
            <wp:extent cx="2969895" cy="1849755"/>
            <wp:effectExtent l="0" t="0" r="0" b="0"/>
            <wp:wrapSquare wrapText="bothSides"/>
            <wp:docPr id="1004" name="Chart 1004"/>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anchor>
        </w:drawing>
      </w:r>
    </w:p>
    <w:p w14:paraId="1004">
      <w:pPr>
        <w:shd w:val="clear" w:color="auto" w:fill="F5F5F5"/>
        <w:spacing w:after="240"/>
      </w:pPr>
      <w:r>
        <w:rPr>
          <w:sz w:val="9"/>
        </w:rPr>
        <mc:AlternateContent>
          <mc:Choice Requires="wps">
            <w:drawing>
              <wp:anchor distT="0" distB="0" distL="114300" distR="114300" simplePos="0" relativeHeight="251660288" behindDoc="0" locked="0" layoutInCell="1" allowOverlap="1">
                <wp:simplePos x="0" y="0"/>
                <wp:positionH relativeFrom="column">
                  <wp:posOffset>2514600</wp:posOffset>
                </wp:positionH>
                <wp:positionV relativeFrom="paragraph">
                  <wp:posOffset>1567815</wp:posOffset>
                </wp:positionV>
                <wp:extent cx="2974975" cy="244475"/>
                <wp:effectExtent l="0" t="0" r="9525" b="9525"/>
                <wp:wrapSquare wrapText="bothSides"/>
                <wp:docPr id="2004" name="文本框 2004"/>
                <wp:cNvGraphicFramePr/>
                <a:graphic xmlns:a="http://schemas.openxmlformats.org/drawingml/2006/main">
                  <a:graphicData uri="http://schemas.microsoft.com/office/word/2010/wordprocessingShape">
                    <wps:wsp>
                      <wps:cNvSpPr txBox="1"/>
                      <wps:spPr>
                        <a:xfrm>
                          <a:off x="0" y="0"/>
                          <a:ext cx="2974975" cy="24447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004">
                            <w:pPr>
                              <w:shd w:val="clear" w:color="auto" w:fill="FFFFFF"/>
                              <w:spacing w:after="450"/>
                              <w:jc w:val="center"/>
                              <w:rPr>
                                <w14:textOutline w14:w="9525">
                                  <w14:round/>
                                </w14:textOutline>
                              </w:rPr>
                            </w:pPr>
                            <w:r>
                              <w:fldChar w:fldCharType="begin"/>
                            </w:r>
                            <w:r>
                              <w:instrText xml:space="preserve"> HYPERLINK "https://datareportal.com/reports/digital-2024-mauritania" \h </w:instrText>
                            </w:r>
                            <w:r>
                              <w:fldChar w:fldCharType="separate"/>
                            </w:r>
                            <w:r>
                              <w:rPr>
                                <w:rFonts w:ascii="Source Han Sans SC" w:hAnsi="Source Han Sans SC" w:eastAsia="Source Han Sans SC" w:cs="Source Han Sans SC"/>
                                <w:color w:val="3498DB"/>
                                <w:sz w:val="15"/>
                              </w:rPr>
                              <w:t>المصدر:DataReportal (بيانات يناير 2024)</w:t>
                            </w:r>
                            <w:r>
                              <w:rPr>
                                <w:rFonts w:ascii="Source Han Sans SC" w:hAnsi="Source Han Sans SC" w:eastAsia="Source Han Sans SC" w:cs="Source Han Sans SC"/>
                                <w:color w:val="3498DB"/>
                                <w:sz w:val="15"/>
                              </w:rPr>
                              <w:fldChar w:fldCharType="end"/>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AlternateContent>
      </w:r>
    </w:p>
    <w:p>
      <w:pPr>
        <w:spacing w:after="0" w:before="192"/>
      </w:pPr>
      <w:r>
        <w:rPr>
          <w:rFonts w:ascii="Source Han Sans SC" w:hAnsi="Source Han Sans SC" w:eastAsia="Source Han Sans SC" w:cs="Source Han Sans SC"/>
          <w:b w:val="0"/>
          <w:color w:val="333333"/>
          <w:sz w:val="24"/>
        </w:rPr>
        <w:t xml:space="preserve">بلغت نسبة انتشار الإنترنت في موريتانيا حوالي </w:t>
      </w:r>
      <w:r>
        <w:t xml:space="preserve"> </w:t>
      </w:r>
      <w:r>
        <w:rPr>
          <w:rFonts w:ascii="Source Han Sans SC" w:hAnsi="Source Han Sans SC" w:eastAsia="Source Han Sans SC" w:cs="Source Han Sans SC"/>
          <w:b w:val="0"/>
          <w:color w:val="333333"/>
          <w:sz w:val="24"/>
        </w:rPr>
        <w:t>44.4%</w:t>
      </w:r>
      <w:r>
        <w:t xml:space="preserve"> </w:t>
      </w:r>
      <w:r>
        <w:rPr>
          <w:rFonts w:ascii="Source Han Sans SC" w:hAnsi="Source Han Sans SC" w:eastAsia="Source Han Sans SC" w:cs="Source Han Sans SC"/>
          <w:b w:val="0"/>
          <w:color w:val="333333"/>
          <w:sz w:val="24"/>
        </w:rPr>
        <w:t xml:space="preserve"> في بداية عام 2024، مما يعني وجود حوالي 2.19 مليون مستخدم للإنترنت. ورغم أن هذه النسبة تبدو متواضعة، إلا أنها تخفي حقيقة مهمة: الاعتماد شبه الكلي على الإنترنت عبر الهاتف المحمول. هذا يجعل أي استراتيجية رقمية ناجحة يجب أن تكون "Mobile-First" بالدرجة الأولى.</w:t>
      </w:r>
    </w:p>
    <w:p>
      <w:pPr>
        <w:spacing w:after="0" w:before="192"/>
      </w:pPr>
      <w:r>
        <w:rPr>
          <w:rFonts w:ascii="Source Han Sans SC" w:hAnsi="Source Han Sans SC" w:eastAsia="Source Han Sans SC" w:cs="Source Han Sans SC"/>
          <w:b w:val="0"/>
          <w:color w:val="333333"/>
          <w:sz w:val="24"/>
        </w:rPr>
        <w:t xml:space="preserve">شهدت البنية التحتية للاتصالات تحسناً ملحوظاً في السنوات الأخيرة. ساهم مشروع البنية التحتية للاتصالات في غرب أفريقيا (WARCIP)، المدعوم من البنك الدولي، في خفض أسعار الإنترنت بالجملة بنسبة هائلة بلغت </w:t>
      </w:r>
      <w:r>
        <w:t xml:space="preserve"> </w:t>
      </w:r>
      <w:r>
        <w:rPr>
          <w:rFonts w:ascii="Source Han Sans SC" w:hAnsi="Source Han Sans SC" w:eastAsia="Source Han Sans SC" w:cs="Source Han Sans SC"/>
          <w:b w:val="0"/>
          <w:color w:val="333333"/>
          <w:sz w:val="24"/>
        </w:rPr>
        <w:t>99%</w:t>
      </w:r>
      <w:r>
        <w:rPr>
          <w:rFonts w:ascii="Source Han Sans SC" w:hAnsi="Source Han Sans SC" w:eastAsia="Source Han Sans SC" w:cs="Source Han Sans SC"/>
          <w:b w:val="0"/>
          <w:color w:val="333333"/>
          <w:sz w:val="24"/>
        </w:rPr>
        <w:t>، من 7000 دولار شهرياً إلى 55 دولاراً شهرياً بين عامي 2012 و 2022 (</w:t>
      </w:r>
      <w:hyperlink r:id="rId18">
        <w:r>
          <w:rPr>
            <w:rFonts w:ascii="Source Han Sans SC" w:hAnsi="Source Han Sans SC" w:eastAsia="Source Han Sans SC" w:cs="Source Han Sans SC"/>
            <w:sz w:val="24"/>
            <w:color w:val="333333"/>
          </w:rPr>
          <w:t>World Bank</w:t>
        </w:r>
      </w:hyperlink>
      <w:r>
        <w:rPr>
          <w:rFonts w:ascii="Source Han Sans SC" w:hAnsi="Source Han Sans SC" w:eastAsia="Source Han Sans SC" w:cs="Source Han Sans SC"/>
          <w:b w:val="0"/>
          <w:color w:val="333333"/>
          <w:sz w:val="24"/>
        </w:rPr>
        <w:t>). كما أطلقت الحكومة في يوليو 2025 البث الرقمي الأرضي (TNT)، مما يدل على وجود إرادة سياسية لتحديث المشهد الإعلامي (</w:t>
      </w:r>
      <w:hyperlink r:id="rId19">
        <w:r>
          <w:rPr>
            <w:rFonts w:ascii="Source Han Sans SC" w:hAnsi="Source Han Sans SC" w:eastAsia="Source Han Sans SC" w:cs="Source Han Sans SC"/>
            <w:sz w:val="24"/>
            <w:color w:val="333333"/>
          </w:rPr>
          <w:t>الأخبار.إنفو</w:t>
        </w:r>
      </w:hyperlink>
      <w:r>
        <w:rPr>
          <w:rFonts w:ascii="Source Han Sans SC" w:hAnsi="Source Han Sans SC" w:eastAsia="Source Han Sans SC" w:cs="Source Han Sans SC"/>
          <w:b w:val="0"/>
          <w:color w:val="333333"/>
          <w:sz w:val="24"/>
        </w:rPr>
        <w:t>).</w:t>
      </w:r>
    </w:p>
    <w:p>
      <w:pPr>
        <w:spacing w:after="0" w:before="192"/>
      </w:pPr>
      <w:r>
        <w:rPr>
          <w:rFonts w:ascii="Source Han Sans SC" w:hAnsi="Source Han Sans SC" w:eastAsia="Source Han Sans SC" w:cs="Source Han Sans SC"/>
          <w:b w:val="0"/>
          <w:color w:val="333333"/>
          <w:sz w:val="24"/>
        </w:rPr>
        <w:t>على الرغم من وجود منصات عالمية مثل Netflix (</w:t>
      </w:r>
      <w:hyperlink r:id="rId20">
        <w:r>
          <w:rPr>
            <w:rFonts w:ascii="Source Han Sans SC" w:hAnsi="Source Han Sans SC" w:eastAsia="Source Han Sans SC" w:cs="Source Han Sans SC"/>
            <w:sz w:val="24"/>
            <w:color w:val="333333"/>
          </w:rPr>
          <w:t>Netflix Mauritania</w:t>
        </w:r>
      </w:hyperlink>
      <w:r>
        <w:rPr>
          <w:rFonts w:ascii="Source Han Sans SC" w:hAnsi="Source Han Sans SC" w:eastAsia="Source Han Sans SC" w:cs="Source Han Sans SC"/>
          <w:b w:val="0"/>
          <w:color w:val="333333"/>
          <w:sz w:val="24"/>
        </w:rPr>
        <w:t>) ومنصة "شاهد" التي أصبحت متاحة عبر شراكة حصرية مع شركة الاتصالات "شنقيتل" (</w:t>
      </w:r>
      <w:hyperlink r:id="rId21">
        <w:r>
          <w:rPr>
            <w:rFonts w:ascii="Source Han Sans SC" w:hAnsi="Source Han Sans SC" w:eastAsia="Source Han Sans SC" w:cs="Source Han Sans SC"/>
            <w:sz w:val="24"/>
            <w:color w:val="333333"/>
          </w:rPr>
          <w:t>Chinguitel Facebook</w:t>
        </w:r>
      </w:hyperlink>
      <w:r>
        <w:rPr>
          <w:rFonts w:ascii="Source Han Sans SC" w:hAnsi="Source Han Sans SC" w:eastAsia="Source Han Sans SC" w:cs="Source Han Sans SC"/>
          <w:b w:val="0"/>
          <w:color w:val="333333"/>
          <w:sz w:val="24"/>
        </w:rPr>
        <w:t>)، إلا أن هناك فجوة واضحة وكبيرة في المحتوى المحلي الموريتاني المنظم والمتاح بجودة عالية. المحتوى المتوفر حالياً إما متناثر على منصات مثل يوتيوب بجودة متفاوتة، أو حبيس أرشيف التلفزيون الوطني.</w:t>
      </w:r>
    </w:p>
    <w:p/>
    <w:p>
      <w:pPr>
        <w:pStyle w:val="Heading2"/>
        <w:spacing w:lineRule="exact" w:line="318" w:after="0" w:before="288"/>
      </w:pPr>
      <w:r>
        <w:rPr>
          <w:rFonts w:ascii="Microsoft YaHei" w:hAnsi="Microsoft YaHei" w:eastAsia="Microsoft YaHei" w:cs="Microsoft YaHei"/>
          <w:color w:val="333333"/>
          <w:sz w:val="28"/>
        </w:rPr>
        <w:t>ثورة الدفع الرقمي كعامل تمكين أساسي</w:t>
      </w:r>
    </w:p>
    <w:p>
      <w:pPr>
        <w:spacing w:after="0" w:before="192"/>
      </w:pPr>
      <w:r>
        <w:rPr>
          <w:rFonts w:ascii="Source Han Sans SC" w:hAnsi="Source Han Sans SC" w:eastAsia="Source Han Sans SC" w:cs="Source Han Sans SC"/>
          <w:b w:val="0"/>
          <w:color w:val="333333"/>
          <w:sz w:val="24"/>
        </w:rPr>
        <w:t>العامل الأكثر أهمية والذي يجعل من إطلاق منصة بث موريتانية الآن فرصة حقيقية هو ثورة الدفع الرقمي التي تشهدها البلاد. لسنوات، كان العائق الأكبر أمام أي خدمة رقمية تعتمد على الاشتراك هو عدم امتلاك الغالبية العظمى من السكان لبطاقات بنكية دولية (مثل Visa أو Mastercard). لكن هذا الواقع يتغير بسرعة بفضل صعود تطبيقات المحافظ البنكية والمحافظ الإلكترونية المحلية.</w:t>
      </w:r>
    </w:p>
    <w:p>
      <w:pPr>
        <w:spacing w:after="0" w:before="192"/>
      </w:pPr>
      <w:r>
        <w:rPr>
          <w:rFonts w:ascii="Source Han Sans SC" w:hAnsi="Source Han Sans SC" w:eastAsia="Source Han Sans SC" w:cs="Source Han Sans SC"/>
          <w:b w:val="0"/>
          <w:color w:val="333333"/>
          <w:sz w:val="24"/>
        </w:rPr>
        <w:t xml:space="preserve">تطبيقات مثل </w:t>
      </w:r>
      <w:r>
        <w:t xml:space="preserve"> </w:t>
      </w:r>
      <w:r>
        <w:rPr>
          <w:rFonts w:ascii="Source Han Sans SC" w:hAnsi="Source Han Sans SC" w:eastAsia="Source Han Sans SC" w:cs="Source Han Sans SC"/>
          <w:b w:val="0"/>
          <w:color w:val="333333"/>
          <w:sz w:val="24"/>
        </w:rPr>
        <w:t>Bankily</w:t>
      </w:r>
      <w:r>
        <w:t xml:space="preserve"> </w:t>
      </w:r>
      <w:r>
        <w:rPr>
          <w:rFonts w:ascii="Source Han Sans SC" w:hAnsi="Source Han Sans SC" w:eastAsia="Source Han Sans SC" w:cs="Source Han Sans SC"/>
          <w:b w:val="0"/>
          <w:color w:val="333333"/>
          <w:sz w:val="24"/>
        </w:rPr>
        <w:t xml:space="preserve"> (من البنك الشعبي الموريتاني)، و </w:t>
      </w:r>
      <w:r>
        <w:t xml:space="preserve"> </w:t>
      </w:r>
      <w:r>
        <w:rPr>
          <w:rFonts w:ascii="Source Han Sans SC" w:hAnsi="Source Han Sans SC" w:eastAsia="Source Han Sans SC" w:cs="Source Han Sans SC"/>
          <w:b w:val="0"/>
          <w:color w:val="333333"/>
          <w:sz w:val="24"/>
        </w:rPr>
        <w:t>Sedad</w:t>
      </w:r>
      <w:r>
        <w:t xml:space="preserve"> </w:t>
      </w:r>
      <w:r>
        <w:rPr>
          <w:rFonts w:ascii="Source Han Sans SC" w:hAnsi="Source Han Sans SC" w:eastAsia="Source Han Sans SC" w:cs="Source Han Sans SC"/>
          <w:b w:val="0"/>
          <w:color w:val="333333"/>
          <w:sz w:val="24"/>
        </w:rPr>
        <w:t xml:space="preserve"> (من البنك الموريتاني للاستثمار)، و </w:t>
      </w:r>
      <w:r>
        <w:t xml:space="preserve"> </w:t>
      </w:r>
      <w:r>
        <w:rPr>
          <w:rFonts w:ascii="Source Han Sans SC" w:hAnsi="Source Han Sans SC" w:eastAsia="Source Han Sans SC" w:cs="Source Han Sans SC"/>
          <w:b w:val="0"/>
          <w:color w:val="333333"/>
          <w:sz w:val="24"/>
        </w:rPr>
        <w:t>Masrvi</w:t>
      </w:r>
      <w:r>
        <w:t xml:space="preserve"> </w:t>
      </w:r>
      <w:r>
        <w:rPr>
          <w:rFonts w:ascii="Source Han Sans SC" w:hAnsi="Source Han Sans SC" w:eastAsia="Source Han Sans SC" w:cs="Source Han Sans SC"/>
          <w:b w:val="0"/>
          <w:color w:val="333333"/>
          <w:sz w:val="24"/>
        </w:rPr>
        <w:t xml:space="preserve"> (من البنك الموريتاني للتجارة الدولية) أصبحت جزءاً من الحياة اليومية للموريتانيين. هذه التطبيقات لا تسمح فقط بتحويل الأموال بين الأفراد، بل أصبحت تستخدم لدفع فواتير الكهرباء والماء، رسوم جواز السفر، وحتى المخالفات المرورية (</w:t>
      </w:r>
      <w:hyperlink r:id="rId22">
        <w:r>
          <w:rPr>
            <w:rFonts w:ascii="Source Han Sans SC" w:hAnsi="Source Han Sans SC" w:eastAsia="Source Han Sans SC" w:cs="Source Han Sans SC"/>
            <w:sz w:val="24"/>
            <w:color w:val="333333"/>
          </w:rPr>
          <w:t>TransFi</w:t>
        </w:r>
      </w:hyperlink>
      <w:r>
        <w:rPr>
          <w:rFonts w:ascii="Source Han Sans SC" w:hAnsi="Source Han Sans SC" w:eastAsia="Source Han Sans SC" w:cs="Source Han Sans SC"/>
          <w:b w:val="0"/>
          <w:color w:val="333333"/>
          <w:sz w:val="24"/>
        </w:rPr>
        <w:t xml:space="preserve">, </w:t>
      </w:r>
      <w:hyperlink r:id="rId23">
        <w:r>
          <w:rPr>
            <w:rFonts w:ascii="Source Han Sans SC" w:hAnsi="Source Han Sans SC" w:eastAsia="Source Han Sans SC" w:cs="Source Han Sans SC"/>
            <w:sz w:val="24"/>
            <w:color w:val="333333"/>
          </w:rPr>
          <w:t>صحراء ميديا</w:t>
        </w:r>
      </w:hyperlink>
      <w:r>
        <w:rPr>
          <w:rFonts w:ascii="Source Han Sans SC" w:hAnsi="Source Han Sans SC" w:eastAsia="Source Han Sans SC" w:cs="Source Han Sans SC"/>
          <w:b w:val="0"/>
          <w:color w:val="333333"/>
          <w:sz w:val="24"/>
        </w:rPr>
        <w:t>). هذا التحول يعني أن المستهلك الموريتاني أصبح معتاداً على الدفع مقابل الخدمات رقمياً باستخدام هاتفه، مما يزيل تماماً عقبة الدفع التي واجهت الأسواق الأفريقية لسنوات.</w:t>
      </w:r>
    </w:p>
    <w:p>
      <w:pPr>
        <w:shd w:val="clear" w:color="auto" w:fill="f9f9f9"/>
      </w:pPr>
      <w:r>
        <w:rPr>
          <w:i/>
          <w:color w:val="555555"/>
          <w:sz w:val="24"/>
        </w:rPr>
        <w:t>إن صعود المحافظ الإلكترونية في موريتانيا ليس مجرد تطور مالي، بل هو عامل تمكين أساسي (Enabler) يخلق نماذج أعمال جديدة بالكامل. لقد تم حل مشكلة "الميل الأخير" في الدفع، والباب مفتوح الآن أمام خدمات الاشتراك الرقمية المصممة للسوق المحلي.</w:t>
      </w:r>
    </w:p>
    <w:p>
      <w:pPr>
        <w:pStyle w:val="Heading2"/>
        <w:spacing w:lineRule="exact" w:line="318" w:after="0" w:before="288"/>
      </w:pPr>
      <w:r>
        <w:rPr>
          <w:rFonts w:ascii="Microsoft YaHei" w:hAnsi="Microsoft YaHei" w:eastAsia="Microsoft YaHei" w:cs="Microsoft YaHei"/>
          <w:color w:val="333333"/>
          <w:sz w:val="28"/>
        </w:rPr>
        <w:t>تحليل SWOT لإنشاء منصة موريتانية</w:t>
      </w:r>
    </w:p>
    <w:p>
      <w:pPr>
        <w:spacing w:after="0" w:before="192"/>
      </w:pPr>
      <w:r>
        <w:rPr>
          <w:rFonts w:ascii="Source Han Sans SC" w:hAnsi="Source Han Sans SC" w:eastAsia="Source Han Sans SC" w:cs="Source Han Sans SC"/>
          <w:b w:val="0"/>
          <w:color w:val="333333"/>
          <w:sz w:val="24"/>
        </w:rPr>
        <w:t>بناءً على المعطيات السابقة، يمكن إجراء تحليل SWOT (نقاط القوة، الضعف، الفرص، التهديدات) لتقييم جدوى إطلاق منصة بث موريتانية.</w:t>
      </w:r>
    </w:p>
    <w:tbl>
      <w:tblPr>
        <w:tblStyle w:val="TableGrid"/>
        <w:tblW w:type="auto" w:w="0"/>
        <w:tblLook w:firstColumn="1" w:firstRow="1" w:lastColumn="0" w:lastRow="0" w:noHBand="0" w:noVBand="1" w:val="04A0"/>
      </w:tblPr>
      <w:tblGrid>
        <w:gridCol w:w="5400"/>
        <w:gridCol w:w="5400"/>
      </w:tblGrid>
      <w:tr>
        <w:tc>
          <w:tcPr>
            <w:tcW w:type="dxa" w:w="5400"/>
          </w:tcPr>
          <w:p>
            <w:r/>
            <w:r>
              <w:rPr>
                <w:rFonts w:ascii="Arial" w:hAnsi="Arial" w:eastAsia="Arial" w:cs="Arial"/>
                <w:color w:val="333333"/>
                <w:sz w:val="21"/>
              </w:rPr>
              <w:t>العامل</w:t>
            </w:r>
          </w:p>
        </w:tc>
        <w:tc>
          <w:tcPr>
            <w:tcW w:type="dxa" w:w="5400"/>
          </w:tcPr>
          <w:p>
            <w:r/>
            <w:r>
              <w:rPr>
                <w:rFonts w:ascii="Arial" w:hAnsi="Arial" w:eastAsia="Arial" w:cs="Arial"/>
                <w:color w:val="333333"/>
                <w:sz w:val="21"/>
              </w:rPr>
              <w:t>التحليل</w:t>
            </w:r>
          </w:p>
        </w:tc>
      </w:tr>
      <w:tr>
        <w:tc>
          <w:tcPr>
            <w:tcW w:type="dxa" w:w="5400"/>
          </w:tcPr>
          <w:p>
            <w:r/>
            <w:r>
              <w:rPr>
                <w:rFonts w:ascii="Source Han Sans SC" w:hAnsi="Source Han Sans SC" w:eastAsia="Source Han Sans SC" w:cs="Source Han Sans SC"/>
                <w:b/>
                <w:color w:val="333333"/>
                <w:sz w:val="21"/>
              </w:rPr>
              <w:t>نقاط القوة (Strengths)</w:t>
            </w:r>
          </w:p>
        </w:tc>
        <w:tc>
          <w:tcPr>
            <w:tcW w:type="dxa" w:w="5400"/>
          </w:tcPr>
          <w:p>
            <w:r/>
            <w:r>
              <w:t xml:space="preserve"> </w:t>
            </w:r>
            <w:r>
              <w:t xml:space="preserve"> </w:t>
            </w:r>
            <w:r>
              <w:rPr>
                <w:rFonts w:ascii="Source Han Sans SC" w:hAnsi="Source Han Sans SC" w:eastAsia="Source Han Sans SC" w:cs="Source Han Sans SC"/>
                <w:b w:val="0"/>
                <w:color w:val="333333"/>
                <w:sz w:val="24"/>
              </w:rPr>
              <w:t>فهم الثقافة المحلية:</w:t>
            </w:r>
            <w:r>
              <w:t xml:space="preserve"> </w:t>
            </w:r>
            <w:r>
              <w:rPr>
                <w:rFonts w:ascii="Source Han Sans SC" w:hAnsi="Source Han Sans SC" w:eastAsia="Source Han Sans SC" w:cs="Source Han Sans SC"/>
                <w:b w:val="0"/>
                <w:color w:val="333333"/>
                <w:sz w:val="24"/>
              </w:rPr>
              <w:t xml:space="preserve"> القدرة على إنتاج وتقديم محتوى يتناغم مع الذوق الموريتاني (دراما، كوميديا، برامج اجتماعية، شعر).</w:t>
            </w:r>
            <w:r>
              <w:t xml:space="preserve"> </w:t>
            </w:r>
            <w:r>
              <w:rPr>
                <w:rFonts w:ascii="Source Han Sans SC" w:hAnsi="Source Han Sans SC" w:eastAsia="Source Han Sans SC" w:cs="Source Han Sans SC"/>
                <w:b w:val="0"/>
                <w:color w:val="333333"/>
                <w:sz w:val="24"/>
              </w:rPr>
              <w:t>محتوى أصيل:</w:t>
            </w:r>
            <w:r>
              <w:t xml:space="preserve"> </w:t>
            </w:r>
            <w:r>
              <w:rPr>
                <w:rFonts w:ascii="Source Han Sans SC" w:hAnsi="Source Han Sans SC" w:eastAsia="Source Han Sans SC" w:cs="Source Han Sans SC"/>
                <w:b w:val="0"/>
                <w:color w:val="333333"/>
                <w:sz w:val="24"/>
              </w:rPr>
              <w:t xml:space="preserve"> الوصول إلى كنز من التراث الثقافي والمواهب المحلية لإنتاج محتوى فريد لا يمكن للمنافسين العالميين تقليده بسهولة.</w:t>
            </w:r>
            <w:r>
              <w:t xml:space="preserve"> </w:t>
            </w:r>
            <w:r>
              <w:rPr>
                <w:rFonts w:ascii="Source Han Sans SC" w:hAnsi="Source Han Sans SC" w:eastAsia="Source Han Sans SC" w:cs="Source Han Sans SC"/>
                <w:b w:val="0"/>
                <w:color w:val="333333"/>
                <w:sz w:val="24"/>
              </w:rPr>
              <w:t>تكلفة إنتاج أقل:</w:t>
            </w:r>
            <w:r>
              <w:t xml:space="preserve"> </w:t>
            </w:r>
            <w:r>
              <w:rPr>
                <w:rFonts w:ascii="Source Han Sans SC" w:hAnsi="Source Han Sans SC" w:eastAsia="Source Han Sans SC" w:cs="Source Han Sans SC"/>
                <w:b w:val="0"/>
                <w:color w:val="333333"/>
                <w:sz w:val="24"/>
              </w:rPr>
              <w:t xml:space="preserve"> إمكانية إنتاج محتوى عالي الجودة بتكاليف أقل مقارنة بالإنتاجات العالمية الضخمة.</w:t>
            </w:r>
            <w:r>
              <w:t xml:space="preserve"> </w:t>
            </w:r>
            <w:r>
              <w:rPr>
                <w:rFonts w:ascii="Source Han Sans SC" w:hAnsi="Source Han Sans SC" w:eastAsia="Source Han Sans SC" w:cs="Source Han Sans SC"/>
                <w:b w:val="0"/>
                <w:color w:val="333333"/>
                <w:sz w:val="24"/>
              </w:rPr>
              <w:t>الاستفادة من الدفع المحلي:</w:t>
            </w:r>
            <w:r>
              <w:t xml:space="preserve"> </w:t>
            </w:r>
            <w:r>
              <w:rPr>
                <w:rFonts w:ascii="Source Han Sans SC" w:hAnsi="Source Han Sans SC" w:eastAsia="Source Han Sans SC" w:cs="Source Han Sans SC"/>
                <w:b w:val="0"/>
                <w:color w:val="333333"/>
                <w:sz w:val="24"/>
              </w:rPr>
              <w:t xml:space="preserve"> التكامل المباشر مع المحافظ الإلكترونية (Bankily, Sedad) يجعل عملية الاشتراك سهلة ومتاحة للجميع.</w:t>
            </w:r>
            <w:r>
              <w:t xml:space="preserve"> </w:t>
            </w:r>
            <w:r>
              <w:t xml:space="preserve"> </w:t>
            </w:r>
          </w:p>
        </w:tc>
      </w:tr>
      <w:tr>
        <w:tc>
          <w:tcPr>
            <w:tcW w:type="dxa" w:w="5400"/>
          </w:tcPr>
          <w:p>
            <w:r/>
            <w:r>
              <w:rPr>
                <w:rFonts w:ascii="Source Han Sans SC" w:hAnsi="Source Han Sans SC" w:eastAsia="Source Han Sans SC" w:cs="Source Han Sans SC"/>
                <w:b/>
                <w:color w:val="333333"/>
                <w:sz w:val="21"/>
              </w:rPr>
              <w:t>نقاط الضعف (Weaknesses)</w:t>
            </w:r>
          </w:p>
        </w:tc>
        <w:tc>
          <w:tcPr>
            <w:tcW w:type="dxa" w:w="5400"/>
          </w:tcPr>
          <w:p>
            <w:r/>
            <w:r>
              <w:t xml:space="preserve"> </w:t>
            </w:r>
            <w:r>
              <w:t xml:space="preserve"> </w:t>
            </w:r>
            <w:r>
              <w:rPr>
                <w:rFonts w:ascii="Source Han Sans SC" w:hAnsi="Source Han Sans SC" w:eastAsia="Source Han Sans SC" w:cs="Source Han Sans SC"/>
                <w:b w:val="0"/>
                <w:color w:val="333333"/>
                <w:sz w:val="24"/>
              </w:rPr>
              <w:t>نقص الخبرة التقنية:</w:t>
            </w:r>
            <w:r>
              <w:t xml:space="preserve"> </w:t>
            </w:r>
            <w:r>
              <w:rPr>
                <w:rFonts w:ascii="Source Han Sans SC" w:hAnsi="Source Han Sans SC" w:eastAsia="Source Han Sans SC" w:cs="Source Han Sans SC"/>
                <w:b w:val="0"/>
                <w:color w:val="333333"/>
                <w:sz w:val="24"/>
              </w:rPr>
              <w:t xml:space="preserve"> قلة الكوادر المتخصصة في إدارة وتشغيل منصات البث المعقدة على المستوى المحلي.</w:t>
            </w:r>
            <w:r>
              <w:t xml:space="preserve"> </w:t>
            </w:r>
            <w:r>
              <w:rPr>
                <w:rFonts w:ascii="Source Han Sans SC" w:hAnsi="Source Han Sans SC" w:eastAsia="Source Han Sans SC" w:cs="Source Han Sans SC"/>
                <w:b w:val="0"/>
                <w:color w:val="333333"/>
                <w:sz w:val="24"/>
              </w:rPr>
              <w:t>صعوبة التمويل:</w:t>
            </w:r>
            <w:r>
              <w:t xml:space="preserve"> </w:t>
            </w:r>
            <w:r>
              <w:rPr>
                <w:rFonts w:ascii="Source Han Sans SC" w:hAnsi="Source Han Sans SC" w:eastAsia="Source Han Sans SC" w:cs="Source Han Sans SC"/>
                <w:b w:val="0"/>
                <w:color w:val="333333"/>
                <w:sz w:val="24"/>
              </w:rPr>
              <w:t xml:space="preserve"> تحدي جذب استثمارات ضخمة في سوق لا يزال يُنظر إليه على أنه صغير ومحفوف بالمخاطر.</w:t>
            </w:r>
            <w:r>
              <w:t xml:space="preserve"> </w:t>
            </w:r>
            <w:r>
              <w:rPr>
                <w:rFonts w:ascii="Source Han Sans SC" w:hAnsi="Source Han Sans SC" w:eastAsia="Source Han Sans SC" w:cs="Source Han Sans SC"/>
                <w:b w:val="0"/>
                <w:color w:val="333333"/>
                <w:sz w:val="24"/>
              </w:rPr>
              <w:t>بنية تحتية غير مكتملة:</w:t>
            </w:r>
            <w:r>
              <w:t xml:space="preserve"> </w:t>
            </w:r>
            <w:r>
              <w:rPr>
                <w:rFonts w:ascii="Source Han Sans SC" w:hAnsi="Source Han Sans SC" w:eastAsia="Source Han Sans SC" w:cs="Source Han Sans SC"/>
                <w:b w:val="0"/>
                <w:color w:val="333333"/>
                <w:sz w:val="24"/>
              </w:rPr>
              <w:t xml:space="preserve"> رغم التحسن، لا تزال جودة الإنترنت وسرعته تشكل عائقاً في المناطق الريفية والنائية.</w:t>
            </w:r>
            <w:r>
              <w:t xml:space="preserve"> </w:t>
            </w:r>
            <w:r>
              <w:t xml:space="preserve"> </w:t>
            </w:r>
          </w:p>
        </w:tc>
      </w:tr>
      <w:tr>
        <w:tc>
          <w:tcPr>
            <w:tcW w:type="dxa" w:w="5400"/>
          </w:tcPr>
          <w:p>
            <w:r/>
            <w:r>
              <w:rPr>
                <w:rFonts w:ascii="Source Han Sans SC" w:hAnsi="Source Han Sans SC" w:eastAsia="Source Han Sans SC" w:cs="Source Han Sans SC"/>
                <w:b/>
                <w:color w:val="333333"/>
                <w:sz w:val="21"/>
              </w:rPr>
              <w:t>الفرص (Opportunities)</w:t>
            </w:r>
          </w:p>
        </w:tc>
        <w:tc>
          <w:tcPr>
            <w:tcW w:type="dxa" w:w="5400"/>
          </w:tcPr>
          <w:p>
            <w:r/>
            <w:r>
              <w:t xml:space="preserve"> </w:t>
            </w:r>
            <w:r>
              <w:t xml:space="preserve"> </w:t>
            </w:r>
            <w:r>
              <w:rPr>
                <w:rFonts w:ascii="Source Han Sans SC" w:hAnsi="Source Han Sans SC" w:eastAsia="Source Han Sans SC" w:cs="Source Han Sans SC"/>
                <w:b w:val="0"/>
                <w:color w:val="333333"/>
                <w:sz w:val="24"/>
              </w:rPr>
              <w:t>طلب غير مشبع:</w:t>
            </w:r>
            <w:r>
              <w:t xml:space="preserve"> </w:t>
            </w:r>
            <w:r>
              <w:rPr>
                <w:rFonts w:ascii="Source Han Sans SC" w:hAnsi="Source Han Sans SC" w:eastAsia="Source Han Sans SC" w:cs="Source Han Sans SC"/>
                <w:b w:val="0"/>
                <w:color w:val="333333"/>
                <w:sz w:val="24"/>
              </w:rPr>
              <w:t xml:space="preserve"> وجود فجوة كبيرة في السوق وطلب حقيقي على محتوى موريتاني منظم وعالي الجودة.</w:t>
            </w:r>
            <w:r>
              <w:t xml:space="preserve"> </w:t>
            </w:r>
            <w:r>
              <w:rPr>
                <w:rFonts w:ascii="Source Han Sans SC" w:hAnsi="Source Han Sans SC" w:eastAsia="Source Han Sans SC" w:cs="Source Han Sans SC"/>
                <w:b w:val="0"/>
                <w:color w:val="333333"/>
                <w:sz w:val="24"/>
              </w:rPr>
              <w:t>مجتمع شاب:</w:t>
            </w:r>
            <w:r>
              <w:t xml:space="preserve"> </w:t>
            </w:r>
            <w:r>
              <w:rPr>
                <w:rFonts w:ascii="Source Han Sans SC" w:hAnsi="Source Han Sans SC" w:eastAsia="Source Han Sans SC" w:cs="Source Han Sans SC"/>
                <w:b w:val="0"/>
                <w:color w:val="333333"/>
                <w:sz w:val="24"/>
              </w:rPr>
              <w:t xml:space="preserve"> قاعدة مستخدمين محتملة ضخمة ومتقبلة للتكنولوجيا الجديدة.</w:t>
            </w:r>
            <w:r>
              <w:t xml:space="preserve"> </w:t>
            </w:r>
            <w:r>
              <w:rPr>
                <w:rFonts w:ascii="Source Han Sans SC" w:hAnsi="Source Han Sans SC" w:eastAsia="Source Han Sans SC" w:cs="Source Han Sans SC"/>
                <w:b w:val="0"/>
                <w:color w:val="333333"/>
                <w:sz w:val="24"/>
              </w:rPr>
              <w:t>الجاليات في الخارج:</w:t>
            </w:r>
            <w:r>
              <w:t xml:space="preserve"> </w:t>
            </w:r>
            <w:r>
              <w:rPr>
                <w:rFonts w:ascii="Source Han Sans SC" w:hAnsi="Source Han Sans SC" w:eastAsia="Source Han Sans SC" w:cs="Source Han Sans SC"/>
                <w:b w:val="0"/>
                <w:color w:val="333333"/>
                <w:sz w:val="24"/>
              </w:rPr>
              <w:t xml:space="preserve"> إمكانية استهداف الجاليات الموريتانية الكبيرة في أوروبا وأمريكا وأفريقيا، والتي لديها رغبة قوية في الارتباط بالوطن.</w:t>
            </w:r>
            <w:r>
              <w:t xml:space="preserve"> </w:t>
            </w:r>
            <w:r>
              <w:rPr>
                <w:rFonts w:ascii="Source Han Sans SC" w:hAnsi="Source Han Sans SC" w:eastAsia="Source Han Sans SC" w:cs="Source Han Sans SC"/>
                <w:b w:val="0"/>
                <w:color w:val="333333"/>
                <w:sz w:val="24"/>
              </w:rPr>
              <w:t>بوابة دفع للمنصات العالمية:</w:t>
            </w:r>
            <w:r>
              <w:t xml:space="preserve"> </w:t>
            </w:r>
            <w:r>
              <w:rPr>
                <w:rFonts w:ascii="Source Han Sans SC" w:hAnsi="Source Han Sans SC" w:eastAsia="Source Han Sans SC" w:cs="Source Han Sans SC"/>
                <w:b w:val="0"/>
                <w:color w:val="333333"/>
                <w:sz w:val="24"/>
              </w:rPr>
              <w:t xml:space="preserve"> فرصة فريدة لتكون المنصة هي الحل لمشكلة الدفع للمنصات الكبرى، مما يخلق مصدر دخل إضافي.</w:t>
            </w:r>
            <w:r>
              <w:t xml:space="preserve"> </w:t>
            </w:r>
            <w:r>
              <w:t xml:space="preserve"> </w:t>
            </w:r>
          </w:p>
        </w:tc>
      </w:tr>
      <w:tr>
        <w:tc>
          <w:tcPr>
            <w:tcW w:type="dxa" w:w="5400"/>
          </w:tcPr>
          <w:p>
            <w:r/>
            <w:r>
              <w:rPr>
                <w:rFonts w:ascii="Source Han Sans SC" w:hAnsi="Source Han Sans SC" w:eastAsia="Source Han Sans SC" w:cs="Source Han Sans SC"/>
                <w:b/>
                <w:color w:val="333333"/>
                <w:sz w:val="21"/>
              </w:rPr>
              <w:t>التهديدات (Threats)</w:t>
            </w:r>
          </w:p>
        </w:tc>
        <w:tc>
          <w:tcPr>
            <w:tcW w:type="dxa" w:w="5400"/>
          </w:tcPr>
          <w:p>
            <w:r/>
            <w:r>
              <w:t xml:space="preserve"> </w:t>
            </w:r>
            <w:r>
              <w:t xml:space="preserve"> </w:t>
            </w:r>
            <w:r>
              <w:rPr>
                <w:rFonts w:ascii="Source Han Sans SC" w:hAnsi="Source Han Sans SC" w:eastAsia="Source Han Sans SC" w:cs="Source Han Sans SC"/>
                <w:b w:val="0"/>
                <w:color w:val="333333"/>
                <w:sz w:val="24"/>
              </w:rPr>
              <w:t>القرصنة:</w:t>
            </w:r>
            <w:r>
              <w:t xml:space="preserve"> </w:t>
            </w:r>
            <w:r>
              <w:rPr>
                <w:rFonts w:ascii="Source Han Sans SC" w:hAnsi="Source Han Sans SC" w:eastAsia="Source Han Sans SC" w:cs="Source Han Sans SC"/>
                <w:b w:val="0"/>
                <w:color w:val="333333"/>
                <w:sz w:val="24"/>
              </w:rPr>
              <w:t xml:space="preserve"> خطر تسريب المحتوى وتداوله بشكل غير قانوني، مما يقوض نموذج الاشتراك.</w:t>
            </w:r>
            <w:r>
              <w:t xml:space="preserve"> </w:t>
            </w:r>
            <w:r>
              <w:rPr>
                <w:rFonts w:ascii="Source Han Sans SC" w:hAnsi="Source Han Sans SC" w:eastAsia="Source Han Sans SC" w:cs="Source Han Sans SC"/>
                <w:b w:val="0"/>
                <w:color w:val="333333"/>
                <w:sz w:val="24"/>
              </w:rPr>
              <w:t>المنافسة المستقبلية:</w:t>
            </w:r>
            <w:r>
              <w:t xml:space="preserve"> </w:t>
            </w:r>
            <w:r>
              <w:rPr>
                <w:rFonts w:ascii="Source Han Sans SC" w:hAnsi="Source Han Sans SC" w:eastAsia="Source Han Sans SC" w:cs="Source Han Sans SC"/>
                <w:b w:val="0"/>
                <w:color w:val="333333"/>
                <w:sz w:val="24"/>
              </w:rPr>
              <w:t xml:space="preserve"> قد تقرر المنصات العالمية (Netflix, Shahid) زيادة استثمارها في المحتوى الموريتاني إذا أثبت السوق جدواه.</w:t>
            </w:r>
            <w:r>
              <w:t xml:space="preserve"> </w:t>
            </w:r>
            <w:r>
              <w:rPr>
                <w:rFonts w:ascii="Source Han Sans SC" w:hAnsi="Source Han Sans SC" w:eastAsia="Source Han Sans SC" w:cs="Source Han Sans SC"/>
                <w:b w:val="0"/>
                <w:color w:val="333333"/>
                <w:sz w:val="24"/>
              </w:rPr>
              <w:t>التحديات التنظيمية:</w:t>
            </w:r>
            <w:r>
              <w:t xml:space="preserve"> </w:t>
            </w:r>
            <w:r>
              <w:rPr>
                <w:rFonts w:ascii="Source Han Sans SC" w:hAnsi="Source Han Sans SC" w:eastAsia="Source Han Sans SC" w:cs="Source Han Sans SC"/>
                <w:b w:val="0"/>
                <w:color w:val="333333"/>
                <w:sz w:val="24"/>
              </w:rPr>
              <w:t xml:space="preserve"> غموض البيئة التشريعية المتعلقة بالإعلام الرقمي وحقوق الملكية الفكرية قد يخلق عقبات.</w:t>
            </w:r>
            <w:r>
              <w:t xml:space="preserve"> </w:t>
            </w:r>
            <w:r>
              <w:rPr>
                <w:rFonts w:ascii="Source Han Sans SC" w:hAnsi="Source Han Sans SC" w:eastAsia="Source Han Sans SC" w:cs="Source Han Sans SC"/>
                <w:b w:val="0"/>
                <w:color w:val="333333"/>
                <w:sz w:val="24"/>
              </w:rPr>
              <w:t>تقلبات العملة:</w:t>
            </w:r>
            <w:r>
              <w:t xml:space="preserve"> </w:t>
            </w:r>
            <w:r>
              <w:rPr>
                <w:rFonts w:ascii="Source Han Sans SC" w:hAnsi="Source Han Sans SC" w:eastAsia="Source Han Sans SC" w:cs="Source Han Sans SC"/>
                <w:b w:val="0"/>
                <w:color w:val="333333"/>
                <w:sz w:val="24"/>
              </w:rPr>
              <w:t xml:space="preserve"> قد تؤثر على تكاليف التشغيل (مثل رسوم CDN) والقدرة على تسعير الاشتراكات بشكل مستقر.</w:t>
            </w:r>
            <w:r>
              <w:t xml:space="preserve"> </w:t>
            </w:r>
            <w:r>
              <w:t xml:space="preserve"> </w:t>
            </w:r>
          </w:p>
        </w:tc>
      </w:tr>
    </w:tbl>
    <w:p>
      <w:pPr>
        <w:pStyle w:val="Heading1"/>
        <w:spacing w:after="0" w:before="499"/>
        <w:jc w:val="left"/>
        <w:pBdr>
          <w:bottom w:val="single" w:sz="8" w:space="2" w:color="E0E0E0"/>
        </w:pBdr>
      </w:pPr>
      <w:r>
        <w:rPr>
          <w:rFonts w:ascii="Microsoft YaHei" w:hAnsi="Microsoft YaHei" w:eastAsia="Microsoft YaHei" w:cs="Microsoft YaHei"/>
          <w:color w:val="333333"/>
          <w:sz w:val="38"/>
        </w:rPr>
        <w:t>خارطة طريق لإطلاق منصة بث موريتانية ناجحة</w:t>
      </w:r>
    </w:p>
    <w:p>
      <w:pPr>
        <w:spacing w:after="0" w:before="192"/>
      </w:pPr>
      <w:r>
        <w:rPr>
          <w:rFonts w:ascii="Source Han Sans SC" w:hAnsi="Source Han Sans SC" w:eastAsia="Source Han Sans SC" w:cs="Source Han Sans SC"/>
          <w:b w:val="0"/>
          <w:color w:val="333333"/>
          <w:sz w:val="24"/>
        </w:rPr>
        <w:t>إن إطلاق منصة بث ناجحة يتطلب أكثر من مجرد فكرة جيدة؛ إنه يتطلب استراتيجية متكاملة تشمل المحتوى، والتسعير، والتكنولوجيا، والشراكات. فيما يلي خارطة طريق مفصلة لتحقيق هذا الهدف.</w:t>
      </w:r>
    </w:p>
    <w:p>
      <w:pPr>
        <w:pStyle w:val="Heading2"/>
        <w:spacing w:lineRule="exact" w:line="318" w:after="0" w:before="288"/>
      </w:pPr>
      <w:r>
        <w:rPr>
          <w:rFonts w:ascii="Microsoft YaHei" w:hAnsi="Microsoft YaHei" w:eastAsia="Microsoft YaHei" w:cs="Microsoft YaHei"/>
          <w:color w:val="333333"/>
          <w:sz w:val="28"/>
        </w:rPr>
        <w:t>استراتيجية المحتوى والتعامل مع المبدعين</w:t>
      </w:r>
    </w:p>
    <w:p>
      <w:pPr>
        <w:spacing w:after="0" w:before="192"/>
      </w:pPr>
      <w:r>
        <w:rPr>
          <w:rFonts w:ascii="Source Han Sans SC" w:hAnsi="Source Han Sans SC" w:eastAsia="Source Han Sans SC" w:cs="Source Han Sans SC"/>
          <w:b w:val="0"/>
          <w:color w:val="333333"/>
          <w:sz w:val="24"/>
        </w:rPr>
        <w:t>المحتوى هو حجر الزاوية والقلب النابض لأي منصة بث. في السوق الموريتاني، المحتوى المحلي ليس مجرد خيار، بل هو الميزة التنافسية الحاسمة التي ستحدد نجاح المنصة أو فشلها. يجب أن ترتكز استراتيجية المحتوى على أربعة محاور رئيسية:</w:t>
      </w:r>
    </w:p>
    <w:p>
      <w:pPr>
        <w:spacing w:line="240" w:lineRule="auto" w:after="20" w:before="0"/>
      </w:pPr>
      <w:r>
        <w:rPr>
          <w:rFonts w:ascii="Microsoft YaHei" w:hAnsi="Microsoft YaHei" w:eastAsia="Microsoft YaHei" w:cs="Microsoft YaHei"/>
          <w:b/>
          <w:color w:val="333333"/>
          <w:sz w:val="24"/>
        </w:rPr>
        <w:t xml:space="preserve">1. </w:t>
      </w:r>
      <w:r>
        <w:rPr>
          <w:rFonts w:ascii="Source Han Sans SC" w:hAnsi="Source Han Sans SC" w:eastAsia="Source Han Sans SC" w:cs="Source Han Sans SC"/>
          <w:b w:val="0"/>
          <w:color w:val="333333"/>
          <w:sz w:val="24"/>
        </w:rPr>
        <w:t>المحتوى الأصلي (Originals):</w:t>
      </w:r>
      <w:r>
        <w:t xml:space="preserve"> </w:t>
      </w:r>
      <w:r>
        <w:rPr>
          <w:rFonts w:ascii="Source Han Sans SC" w:hAnsi="Source Han Sans SC" w:eastAsia="Source Han Sans SC" w:cs="Source Han Sans SC"/>
          <w:color w:val="333333"/>
          <w:sz w:val="24"/>
        </w:rPr>
        <w:t xml:space="preserve"> هذا هو العامل الأقوى لجذب المشتركين. يجب على المنصة الاستثمار في إنتاج مسلسلات درامية، أفلام، برامج وثائقية، وبرامج كوميدية (Stand-up comedy) تعكس الواقع الموريتاني المعاصر، وتتناول قضاياه الاجتماعية بجرأة وإبداع.</w:t>
      </w:r>
    </w:p>
    <w:p>
      <w:pPr>
        <w:spacing w:line="240" w:lineRule="auto" w:after="20" w:before="0"/>
      </w:pPr>
      <w:r>
        <w:rPr>
          <w:rFonts w:ascii="Microsoft YaHei" w:hAnsi="Microsoft YaHei" w:eastAsia="Microsoft YaHei" w:cs="Microsoft YaHei"/>
          <w:b/>
          <w:color w:val="333333"/>
          <w:sz w:val="24"/>
        </w:rPr>
        <w:t xml:space="preserve">2. </w:t>
      </w:r>
      <w:r>
        <w:rPr>
          <w:rFonts w:ascii="Source Han Sans SC" w:hAnsi="Source Han Sans SC" w:eastAsia="Source Han Sans SC" w:cs="Source Han Sans SC"/>
          <w:b w:val="0"/>
          <w:color w:val="333333"/>
          <w:sz w:val="24"/>
        </w:rPr>
        <w:t>المحتوى المرخص (Licensed Content):</w:t>
      </w:r>
      <w:r>
        <w:t xml:space="preserve"> </w:t>
      </w:r>
      <w:r>
        <w:rPr>
          <w:rFonts w:ascii="Source Han Sans SC" w:hAnsi="Source Han Sans SC" w:eastAsia="Source Han Sans SC" w:cs="Source Han Sans SC"/>
          <w:color w:val="333333"/>
          <w:sz w:val="24"/>
        </w:rPr>
        <w:t xml:space="preserve"> هناك أرشيف ضخم من الأعمال الفنية الموريتانية التي يمكن إحياؤها. يجب على المنصة السعي للحصول على حقوق عرض الأعمال الكلاسيكية من أرشيف التلفزة الموريتانية، بالإضافة إلى الأفلام والمسرحيات التي أنتجت على مر السنين.</w:t>
      </w:r>
    </w:p>
    <w:p>
      <w:pPr>
        <w:spacing w:line="240" w:lineRule="auto" w:after="20" w:before="0"/>
      </w:pPr>
      <w:r>
        <w:rPr>
          <w:rFonts w:ascii="Microsoft YaHei" w:hAnsi="Microsoft YaHei" w:eastAsia="Microsoft YaHei" w:cs="Microsoft YaHei"/>
          <w:b/>
          <w:color w:val="333333"/>
          <w:sz w:val="24"/>
        </w:rPr>
        <w:t xml:space="preserve">3. </w:t>
      </w:r>
      <w:r>
        <w:rPr>
          <w:rFonts w:ascii="Source Han Sans SC" w:hAnsi="Source Han Sans SC" w:eastAsia="Source Han Sans SC" w:cs="Source Han Sans SC"/>
          <w:b w:val="0"/>
          <w:color w:val="333333"/>
          <w:sz w:val="24"/>
        </w:rPr>
        <w:t>المحتوى التراثي (Heritage Content):</w:t>
      </w:r>
      <w:r>
        <w:t xml:space="preserve"> </w:t>
      </w:r>
      <w:r>
        <w:rPr>
          <w:rFonts w:ascii="Source Han Sans SC" w:hAnsi="Source Han Sans SC" w:eastAsia="Source Han Sans SC" w:cs="Source Han Sans SC"/>
          <w:color w:val="333333"/>
          <w:sz w:val="24"/>
        </w:rPr>
        <w:t xml:space="preserve"> يمنح القانون الموريتاني حماية خاصة لـ "أعمال التراث الثقافي التقليدي". تنص </w:t>
      </w:r>
      <w:r>
        <w:t xml:space="preserve"> </w:t>
      </w:r>
      <w:r>
        <w:rPr>
          <w:rFonts w:ascii="Source Han Sans SC" w:hAnsi="Source Han Sans SC" w:eastAsia="Source Han Sans SC" w:cs="Source Han Sans SC"/>
          <w:b w:val="0"/>
          <w:color w:val="333333"/>
          <w:sz w:val="24"/>
        </w:rPr>
        <w:t>المادة 8 من قانون الملكية الأدبية والفنية رقم 2012-038</w:t>
      </w:r>
      <w:r>
        <w:t xml:space="preserve"> </w:t>
      </w:r>
      <w:r>
        <w:rPr>
          <w:rFonts w:ascii="Source Han Sans SC" w:hAnsi="Source Han Sans SC" w:eastAsia="Source Han Sans SC" w:cs="Source Han Sans SC"/>
          <w:color w:val="333333"/>
          <w:sz w:val="24"/>
        </w:rPr>
        <w:t xml:space="preserve"> على حماية الحكايات الشعبية، الشعر، الرقصات، والموسيقى التقليدية (</w:t>
      </w:r>
      <w:hyperlink r:id="rId24">
        <w:r>
          <w:rPr>
            <w:rFonts w:ascii="Microsoft YaHei" w:hAnsi="Microsoft YaHei" w:eastAsia="Microsoft YaHei" w:cs="Microsoft YaHei"/>
            <w:sz w:val="24"/>
            <w:color w:val="333333"/>
          </w:rPr>
          <w:t>WIPO Lex</w:t>
        </w:r>
      </w:hyperlink>
      <w:r>
        <w:rPr>
          <w:rFonts w:ascii="Source Han Sans SC" w:hAnsi="Source Han Sans SC" w:eastAsia="Source Han Sans SC" w:cs="Source Han Sans SC"/>
          <w:color w:val="333333"/>
          <w:sz w:val="24"/>
        </w:rPr>
        <w:t>). يمكن للمنصة أن تصبح الحافظ الرقمي لهذا التراث من خلال إنتاج برامج عالية الجودة توثقه وتقدمه للأجيال الجديدة بطريقة عصرية.</w:t>
      </w:r>
    </w:p>
    <w:p>
      <w:pPr>
        <w:spacing w:line="240" w:lineRule="auto" w:after="20" w:before="0"/>
      </w:pPr>
      <w:r>
        <w:rPr>
          <w:rFonts w:ascii="Microsoft YaHei" w:hAnsi="Microsoft YaHei" w:eastAsia="Microsoft YaHei" w:cs="Microsoft YaHei"/>
          <w:b/>
          <w:color w:val="333333"/>
          <w:sz w:val="24"/>
        </w:rPr>
        <w:t xml:space="preserve">4. </w:t>
      </w:r>
      <w:r>
        <w:rPr>
          <w:rFonts w:ascii="Source Han Sans SC" w:hAnsi="Source Han Sans SC" w:eastAsia="Source Han Sans SC" w:cs="Source Han Sans SC"/>
          <w:b w:val="0"/>
          <w:color w:val="333333"/>
          <w:sz w:val="24"/>
        </w:rPr>
        <w:t>محتوى من إنشاء المستخدمين (UGC):</w:t>
      </w:r>
      <w:r>
        <w:t xml:space="preserve"> </w:t>
      </w:r>
      <w:r>
        <w:rPr>
          <w:rFonts w:ascii="Source Han Sans SC" w:hAnsi="Source Han Sans SC" w:eastAsia="Source Han Sans SC" w:cs="Source Han Sans SC"/>
          <w:color w:val="333333"/>
          <w:sz w:val="24"/>
        </w:rPr>
        <w:t xml:space="preserve"> يمكن تخصيص قسم على المنصة للمبدعين الشباب والمواهب الصاعدة لعرض أفلامهم القصيرة، أعمالهم الموسيقية، أو أي محتوى إبداعي آخر. هذا يخلق مجتمعاً حول المنصة ويجعلها حاضنة للمواهب.</w:t>
      </w:r>
    </w:p>
    <w:p>
      <w:pPr>
        <w:pStyle w:val="Heading3"/>
        <w:spacing w:lineRule="exact" w:line="292" w:after="0" w:before="264"/>
      </w:pPr>
      <w:r>
        <w:rPr>
          <w:rFonts w:ascii="Microsoft YaHei" w:hAnsi="Microsoft YaHei" w:eastAsia="Microsoft YaHei" w:cs="Microsoft YaHei"/>
          <w:i w:val="0"/>
          <w:color w:val="333333"/>
          <w:sz w:val="26"/>
        </w:rPr>
        <w:t>نماذج التعامل مع أصحاب المحتوى</w:t>
      </w:r>
    </w:p>
    <w:p>
      <w:pPr>
        <w:spacing w:after="0" w:before="192"/>
      </w:pPr>
      <w:r>
        <w:rPr>
          <w:rFonts w:ascii="Source Han Sans SC" w:hAnsi="Source Han Sans SC" w:eastAsia="Source Han Sans SC" w:cs="Source Han Sans SC"/>
          <w:b w:val="0"/>
          <w:color w:val="333333"/>
          <w:sz w:val="24"/>
        </w:rPr>
        <w:t>للحصول على هذا المحتوى، يجب على المنصة اعتماد نماذج تعاقد مرنة وشفافة، تستند إلى قانون الملكية الفكرية الموريتاني. تنص المواد من 83 إلى 97 من القانون المذكور على تفاصيل "عقد النشر"، والتي يمكن تكييفها لتناسب البث الرقمي. النماذج المقترحة تشمل:</w:t>
      </w:r>
    </w:p>
    <w:p>
      <w:pPr>
        <w:pStyle w:val="ListBullet"/>
        <w:spacing w:line="240" w:lineRule="auto" w:after="20" w:before="0"/>
      </w:pPr>
      <w:r>
        <w:rPr>
          <w:rFonts w:ascii="Source Han Sans SC" w:hAnsi="Source Han Sans SC" w:eastAsia="Source Han Sans SC" w:cs="Source Han Sans SC"/>
          <w:b w:val="0"/>
          <w:color w:val="333333"/>
          <w:sz w:val="24"/>
        </w:rPr>
        <w:t>عقود الترخيص (Licensing Agreement):</w:t>
      </w:r>
      <w:r>
        <w:t xml:space="preserve"> </w:t>
      </w:r>
      <w:r>
        <w:rPr>
          <w:rFonts w:ascii="Source Han Sans SC" w:hAnsi="Source Han Sans SC" w:eastAsia="Source Han Sans SC" w:cs="Source Han Sans SC"/>
          <w:color w:val="333333"/>
          <w:sz w:val="24"/>
        </w:rPr>
        <w:t xml:space="preserve"> هو النموذج الأكثر شيوعاً. تدفع المنصة مبلغاً مقطوعاً (Flat Fee) أو مبلغاً متغيراً للمبدع أو شركة الإنتاج مقابل الحصول على حقوق عرض حصرية أو غير حصرية لعمل معين لفترة زمنية محددة (مثلاً، 3 سنوات) وفي نطاق جغرافي محدد (موريتانيا فقط، أو عالمياً).</w:t>
      </w:r>
    </w:p>
    <w:p>
      <w:pPr>
        <w:pStyle w:val="ListBullet"/>
        <w:spacing w:line="240" w:lineRule="auto" w:after="20" w:before="0"/>
      </w:pPr>
      <w:r>
        <w:rPr>
          <w:rFonts w:ascii="Source Han Sans SC" w:hAnsi="Source Han Sans SC" w:eastAsia="Source Han Sans SC" w:cs="Source Han Sans SC"/>
          <w:b w:val="0"/>
          <w:color w:val="333333"/>
          <w:sz w:val="24"/>
        </w:rPr>
        <w:t>تقاسم الأرباح (Revenue Sharing):</w:t>
      </w:r>
      <w:r>
        <w:t xml:space="preserve"> </w:t>
      </w:r>
      <w:r>
        <w:rPr>
          <w:rFonts w:ascii="Source Han Sans SC" w:hAnsi="Source Han Sans SC" w:eastAsia="Source Han Sans SC" w:cs="Source Han Sans SC"/>
          <w:color w:val="333333"/>
          <w:sz w:val="24"/>
        </w:rPr>
        <w:t xml:space="preserve"> نموذج جذاب للمبدعين الذين يثقون في نجاح أعمالهم. تحصل المنصة على نسبة من إيرادات الاشتراكات أو الإعلانات الناتجة عن مشاهدة محتوى معين، وتمنح النسبة المتبقية للمبدع. هذا النموذج يقلل من المخاطر المالية الأولية على المنصة ويحفز المبدعين على الترويج لأعمالهم (</w:t>
      </w:r>
      <w:hyperlink r:id="rId25">
        <w:r>
          <w:rPr>
            <w:rFonts w:ascii="Source Han Sans SC" w:hAnsi="Source Han Sans SC" w:eastAsia="Source Han Sans SC" w:cs="Source Han Sans SC"/>
            <w:sz w:val="24"/>
            <w:color w:val="333333"/>
          </w:rPr>
          <w:t>SlideTeam</w:t>
        </w:r>
      </w:hyperlink>
      <w:r>
        <w:rPr>
          <w:rFonts w:ascii="Source Han Sans SC" w:hAnsi="Source Han Sans SC" w:eastAsia="Source Han Sans SC" w:cs="Source Han Sans SC"/>
          <w:color w:val="333333"/>
          <w:sz w:val="24"/>
        </w:rPr>
        <w:t>).</w:t>
      </w:r>
    </w:p>
    <w:p>
      <w:pPr>
        <w:pStyle w:val="ListBullet"/>
        <w:spacing w:line="240" w:lineRule="auto" w:after="20" w:before="0"/>
      </w:pPr>
      <w:r>
        <w:rPr>
          <w:rFonts w:ascii="Source Han Sans SC" w:hAnsi="Source Han Sans SC" w:eastAsia="Source Han Sans SC" w:cs="Source Han Sans SC"/>
          <w:b w:val="0"/>
          <w:color w:val="333333"/>
          <w:sz w:val="24"/>
        </w:rPr>
        <w:t>الإنتاج المشترك (Co-production):</w:t>
      </w:r>
      <w:r>
        <w:t xml:space="preserve"> </w:t>
      </w:r>
      <w:r>
        <w:rPr>
          <w:rFonts w:ascii="Source Han Sans SC" w:hAnsi="Source Han Sans SC" w:eastAsia="Source Han Sans SC" w:cs="Source Han Sans SC"/>
          <w:color w:val="333333"/>
          <w:sz w:val="24"/>
        </w:rPr>
        <w:t xml:space="preserve"> تدخل المنصة كشريك في إنتاج العمل منذ البداية، حيث تساهم في التمويل مقابل الحصول على حقوق حصرية ودائمة. هذا النموذج يمنح المنصة سيطرة أكبر على جودة ونوعية المحتوى.</w:t>
      </w:r>
    </w:p>
    <w:p>
      <w:pPr>
        <w:shd w:val="clear" w:color="auto" w:fill="f9f9f9"/>
      </w:pPr>
      <w:r>
        <w:rPr>
          <w:i/>
          <w:color w:val="555555"/>
          <w:sz w:val="24"/>
        </w:rPr>
        <w:t>يجب أن تكون جميع العقود واضحة تماماً فيما يتعلق بنطاق الحقوق الممنوحة (هل تشمل فقط البث عبر الإنترنت SVOD، أم تشمل أيضاً حقوق التوزيع لشركات الطيران أو القنوات التلفزيونية؟)، مدة العقد، النطاق الجغرافي، وآلية الدفع. الشفافية وبناء الثقة مع مجتمع المبدعين أمران حاسمان لنجاح المنصة على المدى الطويل.</w:t>
      </w:r>
    </w:p>
    <w:p>
      <w:pPr>
        <w:pStyle w:val="Heading2"/>
        <w:spacing w:lineRule="exact" w:line="318" w:after="0" w:before="288"/>
      </w:pPr>
      <w:r>
        <w:rPr>
          <w:rFonts w:ascii="Microsoft YaHei" w:hAnsi="Microsoft YaHei" w:eastAsia="Microsoft YaHei" w:cs="Microsoft YaHei"/>
          <w:color w:val="333333"/>
          <w:sz w:val="28"/>
        </w:rPr>
        <w:t>نموذج التسعير والربحية</w:t>
      </w:r>
    </w:p>
    <w:p>
      <w:pPr>
        <w:spacing w:after="0" w:before="192"/>
      </w:pPr>
      <w:r>
        <w:rPr>
          <w:rFonts w:ascii="Source Han Sans SC" w:hAnsi="Source Han Sans SC" w:eastAsia="Source Han Sans SC" w:cs="Source Han Sans SC"/>
          <w:b w:val="0"/>
          <w:color w:val="333333"/>
          <w:sz w:val="24"/>
        </w:rPr>
        <w:t>يجب أن يكون تسعير الاشتراك متوازناً بعناية فائقة. إذا كان السعر مرتفعاً جداً، فسيعزف عنه الجمهور. وإذا كان منخفضاً جداً، فلن تتمكن المنصة من تغطية تكاليفها (المحتوى، التكنولوجيا، التسويق). يجب أن يأخذ التسعير في الاعتبار القدرة الشرائية للمواطن الموريتاني وتكلفة باقات الإنترنت.</w:t>
      </w:r>
    </w:p>
    <w:p>
      <w:pPr>
        <w:pStyle w:val="Heading3"/>
        <w:spacing w:lineRule="exact" w:line="292" w:after="0" w:before="264"/>
      </w:pPr>
      <w:r>
        <w:rPr>
          <w:rFonts w:ascii="Microsoft YaHei" w:hAnsi="Microsoft YaHei" w:eastAsia="Microsoft YaHei" w:cs="Microsoft YaHei"/>
          <w:i w:val="0"/>
          <w:color w:val="333333"/>
          <w:sz w:val="26"/>
        </w:rPr>
        <w:t>نماذج التسعير المقترحة</w:t>
      </w:r>
    </w:p>
    <w:p>
      <w:pPr>
        <w:spacing w:after="0" w:before="192"/>
      </w:pPr>
      <w:r>
        <w:rPr>
          <w:rFonts w:ascii="Source Han Sans SC" w:hAnsi="Source Han Sans SC" w:eastAsia="Source Han Sans SC" w:cs="Source Han Sans SC"/>
          <w:b w:val="0"/>
          <w:color w:val="333333"/>
          <w:sz w:val="24"/>
        </w:rPr>
        <w:t>النموذج الأكثر فعالية هو الجمع بين الباقات المتدرجة والنموذج الهجين:</w:t>
      </w:r>
    </w:p>
    <w:p>
      <w:pPr>
        <w:pStyle w:val="ListBullet"/>
        <w:spacing w:line="240" w:lineRule="auto" w:after="20" w:before="0"/>
      </w:pPr>
      <w:r>
        <w:rPr>
          <w:rFonts w:ascii="Source Han Sans SC" w:hAnsi="Source Han Sans SC" w:eastAsia="Source Han Sans SC" w:cs="Source Han Sans SC"/>
          <w:b w:val="0"/>
          <w:color w:val="333333"/>
          <w:sz w:val="24"/>
        </w:rPr>
        <w:t>باقات متدرجة (Tiered Pricing):</w:t>
      </w:r>
      <w:r>
        <w:t xml:space="preserve"> </w:t>
      </w:r>
      <w:r>
        <w:t xml:space="preserve"> </w:t>
      </w:r>
    </w:p>
    <w:p>
      <w:pPr>
        <w:pStyle w:val="ListBullet"/>
        <w:spacing w:line="240" w:lineRule="auto" w:after="20" w:before="0"/>
        <w:ind w:left="720"/>
      </w:pPr>
      <w:r>
        <w:rPr>
          <w:rFonts w:ascii="Source Han Sans SC" w:hAnsi="Source Han Sans SC" w:eastAsia="Source Han Sans SC" w:cs="Source Han Sans SC"/>
          <w:b w:val="0"/>
          <w:color w:val="333333"/>
          <w:sz w:val="24"/>
        </w:rPr>
        <w:t>الباقة الأساسية (Mobile-Only):</w:t>
      </w:r>
      <w:r>
        <w:t xml:space="preserve"> </w:t>
      </w:r>
      <w:r>
        <w:rPr>
          <w:rFonts w:ascii="Source Han Sans SC" w:hAnsi="Source Han Sans SC" w:eastAsia="Source Han Sans SC" w:cs="Source Han Sans SC"/>
          <w:color w:val="333333"/>
          <w:sz w:val="24"/>
        </w:rPr>
        <w:t xml:space="preserve"> بسعر منخفض جداً، تتيح المشاهدة بجودة قياسية (SD 480p) على جهاز هاتف محمول واحد فقط. هذه الباقة تستهدف الشريحة الأكبر من المستخدمين الذين يعتمدون على هواتفهم.</w:t>
      </w:r>
    </w:p>
    <w:p>
      <w:pPr>
        <w:pStyle w:val="ListBullet"/>
        <w:spacing w:line="240" w:lineRule="auto" w:after="20" w:before="0"/>
        <w:ind w:left="720"/>
      </w:pPr>
      <w:r>
        <w:rPr>
          <w:rFonts w:ascii="Source Han Sans SC" w:hAnsi="Source Han Sans SC" w:eastAsia="Source Han Sans SC" w:cs="Source Han Sans SC"/>
          <w:b w:val="0"/>
          <w:color w:val="333333"/>
          <w:sz w:val="24"/>
        </w:rPr>
        <w:t>الباقة القياسية (Standard):</w:t>
      </w:r>
      <w:r>
        <w:t xml:space="preserve"> </w:t>
      </w:r>
      <w:r>
        <w:rPr>
          <w:rFonts w:ascii="Source Han Sans SC" w:hAnsi="Source Han Sans SC" w:eastAsia="Source Han Sans SC" w:cs="Source Han Sans SC"/>
          <w:color w:val="333333"/>
          <w:sz w:val="24"/>
        </w:rPr>
        <w:t xml:space="preserve"> بسعر متوسط، تتيح المشاهدة بجودة عالية (HD 720p/1080p) على شاشتين في نفس الوقت (هاتف، كمبيوتر، تلفزيون ذكي)، مع إمكانية تحميل المحتوى للمشاهدة بدون إنترنت.</w:t>
      </w:r>
    </w:p>
    <w:p>
      <w:pPr>
        <w:pStyle w:val="ListBullet"/>
        <w:spacing w:line="240" w:lineRule="auto" w:after="20" w:before="0"/>
        <w:ind w:left="720"/>
      </w:pPr>
      <w:r>
        <w:rPr>
          <w:rFonts w:ascii="Source Han Sans SC" w:hAnsi="Source Han Sans SC" w:eastAsia="Source Han Sans SC" w:cs="Source Han Sans SC"/>
          <w:b w:val="0"/>
          <w:color w:val="333333"/>
          <w:sz w:val="24"/>
        </w:rPr>
        <w:t>الباقة المميزة (Premium):</w:t>
      </w:r>
      <w:r>
        <w:t xml:space="preserve"> </w:t>
      </w:r>
      <w:r>
        <w:rPr>
          <w:rFonts w:ascii="Source Han Sans SC" w:hAnsi="Source Han Sans SC" w:eastAsia="Source Han Sans SC" w:cs="Source Han Sans SC"/>
          <w:color w:val="333333"/>
          <w:sz w:val="24"/>
        </w:rPr>
        <w:t xml:space="preserve"> بسعر أعلى، تتيح المشاهدة بجودة فائقة (4K) على أربع شاشات، وتستهدف العائلات والمستخدمين الذين يملكون إنترنت عالي السرعة وأجهزة تلفزيون حديثة.</w:t>
      </w:r>
    </w:p>
    <w:p>
      <w:pPr>
        <w:pStyle w:val="ListBullet"/>
        <w:spacing w:line="240" w:lineRule="auto" w:after="20" w:before="0"/>
      </w:pPr>
      <w:r>
        <w:rPr>
          <w:rFonts w:ascii="Source Han Sans SC" w:hAnsi="Source Han Sans SC" w:eastAsia="Source Han Sans SC" w:cs="Source Han Sans SC"/>
          <w:b w:val="0"/>
          <w:color w:val="333333"/>
          <w:sz w:val="24"/>
        </w:rPr>
        <w:t>نموذج هجين (Hybrid Model):</w:t>
      </w:r>
      <w:r>
        <w:t xml:space="preserve"> </w:t>
      </w:r>
      <w:r>
        <w:t xml:space="preserve"> </w:t>
      </w:r>
    </w:p>
    <w:p>
      <w:pPr>
        <w:pStyle w:val="ListBullet"/>
        <w:spacing w:line="240" w:lineRule="auto" w:after="20" w:before="0"/>
        <w:ind w:left="720"/>
      </w:pPr>
      <w:r>
        <w:rPr>
          <w:rFonts w:ascii="Source Han Sans SC" w:hAnsi="Source Han Sans SC" w:eastAsia="Source Han Sans SC" w:cs="Source Han Sans SC"/>
          <w:b w:val="0"/>
          <w:color w:val="333333"/>
          <w:sz w:val="24"/>
        </w:rPr>
        <w:t>SVOD (الاشتراك):</w:t>
      </w:r>
      <w:r>
        <w:t xml:space="preserve"> </w:t>
      </w:r>
      <w:r>
        <w:rPr>
          <w:rFonts w:ascii="Source Han Sans SC" w:hAnsi="Source Han Sans SC" w:eastAsia="Source Han Sans SC" w:cs="Source Han Sans SC"/>
          <w:color w:val="333333"/>
          <w:sz w:val="24"/>
        </w:rPr>
        <w:t xml:space="preserve"> النموذج الأساسي للوصول إلى كامل مكتبة المحتوى الحصري والمميز.</w:t>
      </w:r>
    </w:p>
    <w:p>
      <w:pPr>
        <w:pStyle w:val="ListBullet"/>
        <w:spacing w:line="240" w:lineRule="auto" w:after="20" w:before="0"/>
        <w:ind w:left="720"/>
      </w:pPr>
      <w:r>
        <w:rPr>
          <w:rFonts w:ascii="Source Han Sans SC" w:hAnsi="Source Han Sans SC" w:eastAsia="Source Han Sans SC" w:cs="Source Han Sans SC"/>
          <w:b w:val="0"/>
          <w:color w:val="333333"/>
          <w:sz w:val="24"/>
        </w:rPr>
        <w:t>AVOD (الإعلانات):</w:t>
      </w:r>
      <w:r>
        <w:t xml:space="preserve"> </w:t>
      </w:r>
      <w:r>
        <w:rPr>
          <w:rFonts w:ascii="Source Han Sans SC" w:hAnsi="Source Han Sans SC" w:eastAsia="Source Han Sans SC" w:cs="Source Han Sans SC"/>
          <w:color w:val="333333"/>
          <w:sz w:val="24"/>
        </w:rPr>
        <w:t xml:space="preserve"> يمكن تقديم جزء من المحتوى (مثلاً، الحلقات الأولى من المسلسلات، أو الأفلام القديمة) مجاناً مع فواصل إعلانية. هذا يساعد على جذب قاعدة جماهيرية واسعة، وتعريفهم بالمنصة، ومن ثم تحويلهم إلى مشتركين مدفوعين. كما أنه يفتح مصدر دخل إضافي من الإعلانات.</w:t>
      </w:r>
    </w:p>
    <w:p>
      <w:pPr>
        <w:pStyle w:val="ListBullet"/>
        <w:spacing w:line="240" w:lineRule="auto" w:after="20" w:before="0"/>
        <w:ind w:left="720"/>
      </w:pPr>
      <w:r>
        <w:rPr>
          <w:rFonts w:ascii="Source Han Sans SC" w:hAnsi="Source Han Sans SC" w:eastAsia="Source Han Sans SC" w:cs="Source Han Sans SC"/>
          <w:b w:val="0"/>
          <w:color w:val="333333"/>
          <w:sz w:val="24"/>
        </w:rPr>
        <w:t>TVOD (الدفع مقابل المشاهدة):</w:t>
      </w:r>
      <w:r>
        <w:t xml:space="preserve"> </w:t>
      </w:r>
      <w:r>
        <w:rPr>
          <w:rFonts w:ascii="Source Han Sans SC" w:hAnsi="Source Han Sans SC" w:eastAsia="Source Han Sans SC" w:cs="Source Han Sans SC"/>
          <w:color w:val="333333"/>
          <w:sz w:val="24"/>
        </w:rPr>
        <w:t xml:space="preserve"> يمكن استخدام هذا النموذج للأحداث الخاصة جداً، مثل العرض الأول لفيلم سينمائي كبير قبل طرحه في أي مكان آخر، أو بث مباشر لحفل فني حصري.</w:t>
      </w:r>
    </w:p>
    <w:p>
      <w:pPr>
        <w:pStyle w:val="Heading3"/>
        <w:spacing w:lineRule="exact" w:line="292" w:after="0" w:before="264"/>
      </w:pPr>
      <w:r>
        <w:rPr>
          <w:rFonts w:ascii="Microsoft YaHei" w:hAnsi="Microsoft YaHei" w:eastAsia="Microsoft YaHei" w:cs="Microsoft YaHei"/>
          <w:i w:val="0"/>
          <w:color w:val="333333"/>
          <w:sz w:val="26"/>
        </w:rPr>
        <w:t>تحديد الأسعار المقترحة</w:t>
      </w:r>
    </w:p>
    <w:p>
      <w:pPr>
        <w:spacing w:after="0" w:before="192"/>
      </w:pPr>
      <w:r>
        <w:rPr>
          <w:rFonts w:ascii="Source Han Sans SC" w:hAnsi="Source Han Sans SC" w:eastAsia="Source Han Sans SC" w:cs="Source Han Sans SC"/>
          <w:b w:val="0"/>
          <w:color w:val="333333"/>
          <w:sz w:val="24"/>
        </w:rPr>
        <w:t>بالنظر إلى أن باقة "شاهد" VIP مع "شنقيتل" تقدم كجزء من عروض الإنترنت الشهرية، وبناءً على تحليل القدرة الشرائية، يمكن اقتراح هيكل أسعار مبدئي (بالأوقية الموريتانية القديمة MRO):</w:t>
      </w:r>
    </w:p>
    <w:p>
      <w:pPr>
        <w:pStyle w:val="ListBullet"/>
        <w:spacing w:line="240" w:lineRule="auto" w:after="20" w:before="0"/>
      </w:pPr>
      <w:r>
        <w:rPr>
          <w:rFonts w:ascii="Source Han Sans SC" w:hAnsi="Source Han Sans SC" w:eastAsia="Source Han Sans SC" w:cs="Source Han Sans SC"/>
          <w:b w:val="0"/>
          <w:color w:val="333333"/>
          <w:sz w:val="24"/>
        </w:rPr>
        <w:t>الباقة الأساسية (Mobile-Only):</w:t>
      </w:r>
      <w:r>
        <w:t xml:space="preserve"> </w:t>
      </w:r>
      <w:r>
        <w:rPr>
          <w:rFonts w:ascii="Source Han Sans SC" w:hAnsi="Source Han Sans SC" w:eastAsia="Source Han Sans SC" w:cs="Source Han Sans SC"/>
          <w:color w:val="333333"/>
          <w:sz w:val="24"/>
        </w:rPr>
        <w:t xml:space="preserve"> 1,000 - 1,500 أوقية شهرياً.</w:t>
      </w:r>
    </w:p>
    <w:p>
      <w:pPr>
        <w:pStyle w:val="ListBullet"/>
        <w:spacing w:line="240" w:lineRule="auto" w:after="20" w:before="0"/>
      </w:pPr>
      <w:r>
        <w:rPr>
          <w:rFonts w:ascii="Source Han Sans SC" w:hAnsi="Source Han Sans SC" w:eastAsia="Source Han Sans SC" w:cs="Source Han Sans SC"/>
          <w:b w:val="0"/>
          <w:color w:val="333333"/>
          <w:sz w:val="24"/>
        </w:rPr>
        <w:t>الباقة القياسية:</w:t>
      </w:r>
      <w:r>
        <w:t xml:space="preserve"> </w:t>
      </w:r>
      <w:r>
        <w:rPr>
          <w:rFonts w:ascii="Source Han Sans SC" w:hAnsi="Source Han Sans SC" w:eastAsia="Source Han Sans SC" w:cs="Source Han Sans SC"/>
          <w:color w:val="333333"/>
          <w:sz w:val="24"/>
        </w:rPr>
        <w:t xml:space="preserve"> 2,500 - 3,000 أوقية شهرياً.</w:t>
      </w:r>
    </w:p>
    <w:p>
      <w:pPr>
        <w:pStyle w:val="ListBullet"/>
        <w:spacing w:line="240" w:lineRule="auto" w:after="20" w:before="0"/>
      </w:pPr>
      <w:r>
        <w:rPr>
          <w:rFonts w:ascii="Source Han Sans SC" w:hAnsi="Source Han Sans SC" w:eastAsia="Source Han Sans SC" w:cs="Source Han Sans SC"/>
          <w:b w:val="0"/>
          <w:color w:val="333333"/>
          <w:sz w:val="24"/>
        </w:rPr>
        <w:t>الباقة المميزة:</w:t>
      </w:r>
      <w:r>
        <w:t xml:space="preserve"> </w:t>
      </w:r>
      <w:r>
        <w:rPr>
          <w:rFonts w:ascii="Source Han Sans SC" w:hAnsi="Source Han Sans SC" w:eastAsia="Source Han Sans SC" w:cs="Source Han Sans SC"/>
          <w:color w:val="333333"/>
          <w:sz w:val="24"/>
        </w:rPr>
        <w:t xml:space="preserve"> 4,000 - 5,000 أوقية شهرياً.</w:t>
      </w:r>
    </w:p>
    <w:p>
      <w:pPr>
        <w:spacing w:after="0" w:before="192"/>
      </w:pPr>
      <w:r>
        <w:rPr>
          <w:rFonts w:ascii="Source Han Sans SC" w:hAnsi="Source Han Sans SC" w:eastAsia="Source Han Sans SC" w:cs="Source Han Sans SC"/>
          <w:b w:val="0"/>
          <w:color w:val="333333"/>
          <w:sz w:val="24"/>
        </w:rPr>
        <w:t>هذه الأسعار تجعل الخدمة في متناول شريحة واسعة، خاصة الباقة الأساسية التي تعادل تكلفة وجبة خفيفة، مما يشجع على التجربة والاشتراك.</w:t>
      </w:r>
    </w:p>
    <w:p>
      <w:pPr>
        <w:pStyle w:val="Heading2"/>
        <w:spacing w:lineRule="exact" w:line="318" w:after="0" w:before="288"/>
      </w:pPr>
      <w:r>
        <w:rPr>
          <w:rFonts w:ascii="Microsoft YaHei" w:hAnsi="Microsoft YaHei" w:eastAsia="Microsoft YaHei" w:cs="Microsoft YaHei"/>
          <w:color w:val="333333"/>
          <w:sz w:val="28"/>
        </w:rPr>
        <w:t>الشراكة كبوابة دفع للمنصات العالمية (الفكرة المحورية)</w:t>
      </w:r>
    </w:p>
    <w:p>
      <w:pPr>
        <w:spacing w:after="0" w:before="192"/>
      </w:pPr>
      <w:r>
        <w:rPr>
          <w:rFonts w:ascii="Source Han Sans SC" w:hAnsi="Source Han Sans SC" w:eastAsia="Source Han Sans SC" w:cs="Source Han Sans SC"/>
          <w:b w:val="0"/>
          <w:color w:val="333333"/>
          <w:sz w:val="24"/>
        </w:rPr>
        <w:t>هذه هي الفكرة التي يمكن أن تنقل المنصة الموريتانية من مجرد لاعب محلي إلى شريك استراتيجي إقليمي. المشكلة الكبرى التي تواجه Netflix و Shahid وغيرها من المنصات العالمية في موريتانيا (والعديد من الدول الأفريقية) هي صعوبة تحصيل الاشتراكات بسبب عدم انتشار البطاقات البنكية الدولية. المنصة الموريتانية، بفضل تكاملها مع المحافظ الإلكترونية المحلية، يمكنها أن تقدم الحل.</w:t>
      </w:r>
    </w:p>
    <w:p>
      <w:pPr>
        <w:pStyle w:val="Heading3"/>
        <w:spacing w:lineRule="exact" w:line="292" w:after="0" w:before="264"/>
      </w:pPr>
      <w:r>
        <w:rPr>
          <w:rFonts w:ascii="Microsoft YaHei" w:hAnsi="Microsoft YaHei" w:eastAsia="Microsoft YaHei" w:cs="Microsoft YaHei"/>
          <w:i w:val="0"/>
          <w:color w:val="333333"/>
          <w:sz w:val="26"/>
        </w:rPr>
        <w:t>النموذج المقترح: المنصة كوسيط دفع (Payment Aggregator)</w:t>
      </w:r>
    </w:p>
    <w:p>
      <w:pPr>
        <w:spacing w:after="0" w:before="192"/>
      </w:pPr>
      <w:r>
        <w:rPr>
          <w:rFonts w:ascii="Source Han Sans SC" w:hAnsi="Source Han Sans SC" w:eastAsia="Source Han Sans SC" w:cs="Source Han Sans SC"/>
          <w:b w:val="0"/>
          <w:color w:val="333333"/>
          <w:sz w:val="24"/>
        </w:rPr>
        <w:t>آلية العمل بسيطة ومبتكرة:</w:t>
      </w:r>
    </w:p>
    <w:p>
      <w:pPr>
        <w:spacing w:line="240" w:lineRule="auto" w:after="20" w:before="0"/>
      </w:pPr>
      <w:r>
        <w:rPr>
          <w:rFonts w:ascii="Microsoft YaHei" w:hAnsi="Microsoft YaHei" w:eastAsia="Microsoft YaHei" w:cs="Microsoft YaHei"/>
          <w:b/>
          <w:color w:val="333333"/>
          <w:sz w:val="24"/>
        </w:rPr>
        <w:t xml:space="preserve">1. </w:t>
      </w:r>
      <w:r>
        <w:rPr>
          <w:rFonts w:ascii="Source Han Sans SC" w:hAnsi="Source Han Sans SC" w:eastAsia="Source Han Sans SC" w:cs="Source Han Sans SC"/>
          <w:b w:val="0"/>
          <w:color w:val="333333"/>
          <w:sz w:val="24"/>
        </w:rPr>
        <w:t>عقد الشراكة:</w:t>
      </w:r>
      <w:r>
        <w:t xml:space="preserve"> </w:t>
      </w:r>
      <w:r>
        <w:rPr>
          <w:rFonts w:ascii="Source Han Sans SC" w:hAnsi="Source Han Sans SC" w:eastAsia="Source Han Sans SC" w:cs="Source Han Sans SC"/>
          <w:color w:val="333333"/>
          <w:sz w:val="24"/>
        </w:rPr>
        <w:t xml:space="preserve"> تعقد المنصة الموريتانية اتفاقيات تجارية مع Netflix، Shahid، Disney+، وغيرها. تحدد هذه الاتفاقيات نسبة العمولة التي ستحصل عليها المنصة الموريتانية مقابل كل مشترك جديد تجلبه.</w:t>
      </w:r>
    </w:p>
    <w:p>
      <w:pPr>
        <w:spacing w:line="240" w:lineRule="auto" w:after="20" w:before="0"/>
      </w:pPr>
      <w:r>
        <w:rPr>
          <w:rFonts w:ascii="Microsoft YaHei" w:hAnsi="Microsoft YaHei" w:eastAsia="Microsoft YaHei" w:cs="Microsoft YaHei"/>
          <w:b/>
          <w:color w:val="333333"/>
          <w:sz w:val="24"/>
        </w:rPr>
        <w:t xml:space="preserve">2. </w:t>
      </w:r>
      <w:r>
        <w:rPr>
          <w:rFonts w:ascii="Source Han Sans SC" w:hAnsi="Source Han Sans SC" w:eastAsia="Source Han Sans SC" w:cs="Source Han Sans SC"/>
          <w:b w:val="0"/>
          <w:color w:val="333333"/>
          <w:sz w:val="24"/>
        </w:rPr>
        <w:t>التكامل التقني:</w:t>
      </w:r>
      <w:r>
        <w:t xml:space="preserve"> </w:t>
      </w:r>
      <w:r>
        <w:rPr>
          <w:rFonts w:ascii="Source Han Sans SC" w:hAnsi="Source Han Sans SC" w:eastAsia="Source Han Sans SC" w:cs="Source Han Sans SC"/>
          <w:color w:val="333333"/>
          <w:sz w:val="24"/>
        </w:rPr>
        <w:t xml:space="preserve"> تقوم المنصة الموريتانية ببناء واجهات برمجية للتطبيقات (APIs) تربط نظامها بنظام الاشتراكات الخاص بالمنصات العالمية.</w:t>
      </w:r>
    </w:p>
    <w:p>
      <w:pPr>
        <w:spacing w:line="240" w:lineRule="auto" w:after="20" w:before="0"/>
      </w:pPr>
      <w:r>
        <w:rPr>
          <w:rFonts w:ascii="Microsoft YaHei" w:hAnsi="Microsoft YaHei" w:eastAsia="Microsoft YaHei" w:cs="Microsoft YaHei"/>
          <w:b/>
          <w:color w:val="333333"/>
          <w:sz w:val="24"/>
        </w:rPr>
        <w:t xml:space="preserve">3. </w:t>
      </w:r>
      <w:r>
        <w:rPr>
          <w:rFonts w:ascii="Source Han Sans SC" w:hAnsi="Source Han Sans SC" w:eastAsia="Source Han Sans SC" w:cs="Source Han Sans SC"/>
          <w:b w:val="0"/>
          <w:color w:val="333333"/>
          <w:sz w:val="24"/>
        </w:rPr>
        <w:t>تجربة المستخدم:</w:t>
      </w:r>
      <w:r>
        <w:t xml:space="preserve"> </w:t>
      </w:r>
      <w:r>
        <w:rPr>
          <w:rFonts w:ascii="Source Han Sans SC" w:hAnsi="Source Han Sans SC" w:eastAsia="Source Han Sans SC" w:cs="Source Han Sans SC"/>
          <w:color w:val="333333"/>
          <w:sz w:val="24"/>
        </w:rPr>
        <w:t xml:space="preserve"> داخل تطبيق المنصة الموريتانية، يتم إنشاء قسم خاص بعنوان "المنصات الشريكة". يمكن للمستخدم تصفح باقات Netflix و Shahid واختيار الباقة التي يريدها.</w:t>
      </w:r>
    </w:p>
    <w:p>
      <w:pPr>
        <w:spacing w:line="240" w:lineRule="auto" w:after="20" w:before="0"/>
      </w:pPr>
      <w:r>
        <w:rPr>
          <w:rFonts w:ascii="Microsoft YaHei" w:hAnsi="Microsoft YaHei" w:eastAsia="Microsoft YaHei" w:cs="Microsoft YaHei"/>
          <w:b/>
          <w:color w:val="333333"/>
          <w:sz w:val="24"/>
        </w:rPr>
        <w:t xml:space="preserve">4. </w:t>
      </w:r>
      <w:r>
        <w:rPr>
          <w:rFonts w:ascii="Source Han Sans SC" w:hAnsi="Source Han Sans SC" w:eastAsia="Source Han Sans SC" w:cs="Source Han Sans SC"/>
          <w:b w:val="0"/>
          <w:color w:val="333333"/>
          <w:sz w:val="24"/>
        </w:rPr>
        <w:t>عملية الدفع:</w:t>
      </w:r>
      <w:r>
        <w:t xml:space="preserve"> </w:t>
      </w:r>
      <w:r>
        <w:rPr>
          <w:rFonts w:ascii="Source Han Sans SC" w:hAnsi="Source Han Sans SC" w:eastAsia="Source Han Sans SC" w:cs="Source Han Sans SC"/>
          <w:color w:val="333333"/>
          <w:sz w:val="24"/>
        </w:rPr>
        <w:t xml:space="preserve"> عند اختيار باقة Netflix مثلاً، يتم توجيه المستخدم إلى صفحة دفع داخل التطبيق الموريتاني. يقوم المستخدم بالدفع بسهولة باستخدام رصيده في محفظة Bankily أو Sedad.</w:t>
      </w:r>
    </w:p>
    <w:p>
      <w:pPr>
        <w:spacing w:line="240" w:lineRule="auto" w:after="20" w:before="0"/>
      </w:pPr>
      <w:r>
        <w:rPr>
          <w:rFonts w:ascii="Microsoft YaHei" w:hAnsi="Microsoft YaHei" w:eastAsia="Microsoft YaHei" w:cs="Microsoft YaHei"/>
          <w:b/>
          <w:color w:val="333333"/>
          <w:sz w:val="24"/>
        </w:rPr>
        <w:t xml:space="preserve">5. </w:t>
      </w:r>
      <w:r>
        <w:rPr>
          <w:rFonts w:ascii="Source Han Sans SC" w:hAnsi="Source Han Sans SC" w:eastAsia="Source Han Sans SC" w:cs="Source Han Sans SC"/>
          <w:b w:val="0"/>
          <w:color w:val="333333"/>
          <w:sz w:val="24"/>
        </w:rPr>
        <w:t>تفعيل الاشتراك:</w:t>
      </w:r>
      <w:r>
        <w:t xml:space="preserve"> </w:t>
      </w:r>
      <w:r>
        <w:rPr>
          <w:rFonts w:ascii="Source Han Sans SC" w:hAnsi="Source Han Sans SC" w:eastAsia="Source Han Sans SC" w:cs="Source Han Sans SC"/>
          <w:color w:val="333333"/>
          <w:sz w:val="24"/>
        </w:rPr>
        <w:t xml:space="preserve"> بعد نجاح عملية الدفع، يقوم نظام المنصة الموريتانية بإرسال إشعار عبر الـ API إلى Netflix لتفعيل اشتراك المستخدم فوراً.</w:t>
      </w:r>
    </w:p>
    <w:p>
      <w:pPr>
        <w:spacing w:line="240" w:lineRule="auto" w:after="20" w:before="0"/>
      </w:pPr>
      <w:r>
        <w:rPr>
          <w:rFonts w:ascii="Microsoft YaHei" w:hAnsi="Microsoft YaHei" w:eastAsia="Microsoft YaHei" w:cs="Microsoft YaHei"/>
          <w:b/>
          <w:color w:val="333333"/>
          <w:sz w:val="24"/>
        </w:rPr>
        <w:t xml:space="preserve">6. </w:t>
      </w:r>
      <w:r>
        <w:rPr>
          <w:rFonts w:ascii="Source Han Sans SC" w:hAnsi="Source Han Sans SC" w:eastAsia="Source Han Sans SC" w:cs="Source Han Sans SC"/>
          <w:b w:val="0"/>
          <w:color w:val="333333"/>
          <w:sz w:val="24"/>
        </w:rPr>
        <w:t>تسوية الحسابات:</w:t>
      </w:r>
      <w:r>
        <w:t xml:space="preserve"> </w:t>
      </w:r>
      <w:r>
        <w:rPr>
          <w:rFonts w:ascii="Source Han Sans SC" w:hAnsi="Source Han Sans SC" w:eastAsia="Source Han Sans SC" w:cs="Source Han Sans SC"/>
          <w:color w:val="333333"/>
          <w:sz w:val="24"/>
        </w:rPr>
        <w:t xml:space="preserve"> في نهاية كل شهر، تقوم المنصة الموريتانية بتحويل إجمالي المبالغ المحصلة إلى Netflix بعد خصم عمولتها المتفق عليها.</w:t>
      </w:r>
    </w:p>
    <w:p>
      <w:pPr>
        <w:pStyle w:val="Heading3"/>
        <w:spacing w:lineRule="exact" w:line="292" w:after="0" w:before="264"/>
      </w:pPr>
      <w:r>
        <w:rPr>
          <w:rFonts w:ascii="Microsoft YaHei" w:hAnsi="Microsoft YaHei" w:eastAsia="Microsoft YaHei" w:cs="Microsoft YaHei"/>
          <w:i w:val="0"/>
          <w:color w:val="333333"/>
          <w:sz w:val="26"/>
        </w:rPr>
        <w:t>الفوائد المتبادلة للجميع</w:t>
      </w:r>
    </w:p>
    <w:p>
      <w:pPr>
        <w:pStyle w:val="ListBullet"/>
        <w:spacing w:line="240" w:lineRule="auto" w:after="20" w:before="0"/>
      </w:pPr>
      <w:r>
        <w:rPr>
          <w:rFonts w:ascii="Source Han Sans SC" w:hAnsi="Source Han Sans SC" w:eastAsia="Source Han Sans SC" w:cs="Source Han Sans SC"/>
          <w:b w:val="0"/>
          <w:color w:val="333333"/>
          <w:sz w:val="24"/>
        </w:rPr>
        <w:t>للمستخدم الموريتاني:</w:t>
      </w:r>
      <w:r>
        <w:t xml:space="preserve"> </w:t>
      </w:r>
      <w:r>
        <w:rPr>
          <w:rFonts w:ascii="Source Han Sans SC" w:hAnsi="Source Han Sans SC" w:eastAsia="Source Han Sans SC" w:cs="Source Han Sans SC"/>
          <w:color w:val="333333"/>
          <w:sz w:val="24"/>
        </w:rPr>
        <w:t xml:space="preserve"> حل نهائي لمشكلة الدفع. يصبح بإمكانه الاشتراك في أي منصة عالمية بسهولة وأمان من خلال تطبيق واحد يثق به ويستخدمه يومياً.</w:t>
      </w:r>
    </w:p>
    <w:p>
      <w:pPr>
        <w:pStyle w:val="ListBullet"/>
        <w:spacing w:line="240" w:lineRule="auto" w:after="20" w:before="0"/>
      </w:pPr>
      <w:r>
        <w:rPr>
          <w:rFonts w:ascii="Source Han Sans SC" w:hAnsi="Source Han Sans SC" w:eastAsia="Source Han Sans SC" w:cs="Source Han Sans SC"/>
          <w:b w:val="0"/>
          <w:color w:val="333333"/>
          <w:sz w:val="24"/>
        </w:rPr>
        <w:t>للمنصة الموريتانية:</w:t>
      </w:r>
      <w:r>
        <w:t xml:space="preserve"> </w:t>
      </w:r>
      <w:r>
        <w:t xml:space="preserve"> </w:t>
      </w:r>
    </w:p>
    <w:p>
      <w:pPr>
        <w:pStyle w:val="ListBullet"/>
        <w:spacing w:line="240" w:lineRule="auto" w:after="20" w:before="0"/>
        <w:ind w:left="720"/>
      </w:pPr>
      <w:r>
        <w:rPr>
          <w:rFonts w:ascii="Source Han Sans SC" w:hAnsi="Source Han Sans SC" w:eastAsia="Source Han Sans SC" w:cs="Source Han Sans SC"/>
          <w:b w:val="0"/>
          <w:color w:val="333333"/>
          <w:sz w:val="24"/>
        </w:rPr>
        <w:t>مصدر إيرادات جديد ومستدام:</w:t>
      </w:r>
      <w:r>
        <w:t xml:space="preserve"> </w:t>
      </w:r>
      <w:r>
        <w:rPr>
          <w:rFonts w:ascii="Source Han Sans SC" w:hAnsi="Source Han Sans SC" w:eastAsia="Source Han Sans SC" w:cs="Source Han Sans SC"/>
          <w:color w:val="333333"/>
          <w:sz w:val="24"/>
        </w:rPr>
        <w:t xml:space="preserve"> عمولة من كل اشتراك عالمي يتم عبرها.</w:t>
      </w:r>
    </w:p>
    <w:p>
      <w:pPr>
        <w:pStyle w:val="ListBullet"/>
        <w:spacing w:line="240" w:lineRule="auto" w:after="20" w:before="0"/>
        <w:ind w:left="720"/>
      </w:pPr>
      <w:r>
        <w:rPr>
          <w:rFonts w:ascii="Source Han Sans SC" w:hAnsi="Source Han Sans SC" w:eastAsia="Source Han Sans SC" w:cs="Source Han Sans SC"/>
          <w:b w:val="0"/>
          <w:color w:val="333333"/>
          <w:sz w:val="24"/>
        </w:rPr>
        <w:t>زيادة جاذبية المنصة:</w:t>
      </w:r>
      <w:r>
        <w:t xml:space="preserve"> </w:t>
      </w:r>
      <w:r>
        <w:rPr>
          <w:rFonts w:ascii="Source Han Sans SC" w:hAnsi="Source Han Sans SC" w:eastAsia="Source Han Sans SC" w:cs="Source Han Sans SC"/>
          <w:color w:val="333333"/>
          <w:sz w:val="24"/>
        </w:rPr>
        <w:t xml:space="preserve"> تتحول من مجرد منصة محتوى إلى "سوبر آب" ترفيهي شامل.</w:t>
      </w:r>
    </w:p>
    <w:p>
      <w:pPr>
        <w:pStyle w:val="ListBullet"/>
        <w:spacing w:line="240" w:lineRule="auto" w:after="20" w:before="0"/>
        <w:ind w:left="720"/>
      </w:pPr>
      <w:r>
        <w:rPr>
          <w:rFonts w:ascii="Source Han Sans SC" w:hAnsi="Source Han Sans SC" w:eastAsia="Source Han Sans SC" w:cs="Source Han Sans SC"/>
          <w:b w:val="0"/>
          <w:color w:val="333333"/>
          <w:sz w:val="24"/>
        </w:rPr>
        <w:t>بناء علاقات استراتيجية:</w:t>
      </w:r>
      <w:r>
        <w:t xml:space="preserve"> </w:t>
      </w:r>
      <w:r>
        <w:rPr>
          <w:rFonts w:ascii="Source Han Sans SC" w:hAnsi="Source Han Sans SC" w:eastAsia="Source Han Sans SC" w:cs="Source Han Sans SC"/>
          <w:color w:val="333333"/>
          <w:sz w:val="24"/>
        </w:rPr>
        <w:t xml:space="preserve"> تصبح شريكاً لا غنى عنه للاعبين الكبار، مما يفتح الباب لتعاون أعمق في المستقبل (مثل الإنتاج المشترك).</w:t>
      </w:r>
    </w:p>
    <w:p>
      <w:pPr>
        <w:pStyle w:val="ListBullet"/>
        <w:spacing w:line="240" w:lineRule="auto" w:after="20" w:before="0"/>
      </w:pPr>
      <w:r>
        <w:rPr>
          <w:rFonts w:ascii="Source Han Sans SC" w:hAnsi="Source Han Sans SC" w:eastAsia="Source Han Sans SC" w:cs="Source Han Sans SC"/>
          <w:b w:val="0"/>
          <w:color w:val="333333"/>
          <w:sz w:val="24"/>
        </w:rPr>
        <w:t>للمنصات العالمية (Netflix, Shahid):</w:t>
      </w:r>
      <w:r>
        <w:t xml:space="preserve"> </w:t>
      </w:r>
      <w:r>
        <w:t xml:space="preserve"> </w:t>
      </w:r>
    </w:p>
    <w:p>
      <w:pPr>
        <w:pStyle w:val="ListBullet"/>
        <w:spacing w:line="240" w:lineRule="auto" w:after="20" w:before="0"/>
        <w:ind w:left="720"/>
      </w:pPr>
      <w:r>
        <w:rPr>
          <w:rFonts w:ascii="Source Han Sans SC" w:hAnsi="Source Han Sans SC" w:eastAsia="Source Han Sans SC" w:cs="Source Han Sans SC"/>
          <w:b w:val="0"/>
          <w:color w:val="333333"/>
          <w:sz w:val="24"/>
        </w:rPr>
        <w:t>فتح سوق جديد:</w:t>
      </w:r>
      <w:r>
        <w:t xml:space="preserve"> </w:t>
      </w:r>
      <w:r>
        <w:rPr>
          <w:rFonts w:ascii="Source Han Sans SC" w:hAnsi="Source Han Sans SC" w:eastAsia="Source Han Sans SC" w:cs="Source Han Sans SC"/>
          <w:color w:val="333333"/>
          <w:sz w:val="24"/>
        </w:rPr>
        <w:t xml:space="preserve"> الوصول الفوري إلى ملايين المستخدمين المحتملين في سوق كان مغلقاً فعلياً بسبب عوائق الدفع.</w:t>
      </w:r>
    </w:p>
    <w:p>
      <w:pPr>
        <w:pStyle w:val="ListBullet"/>
        <w:spacing w:line="240" w:lineRule="auto" w:after="20" w:before="0"/>
        <w:ind w:left="720"/>
      </w:pPr>
      <w:r>
        <w:rPr>
          <w:rFonts w:ascii="Source Han Sans SC" w:hAnsi="Source Han Sans SC" w:eastAsia="Source Han Sans SC" w:cs="Source Han Sans SC"/>
          <w:b w:val="0"/>
          <w:color w:val="333333"/>
          <w:sz w:val="24"/>
        </w:rPr>
        <w:t>زيادة عدد المشتركين:</w:t>
      </w:r>
      <w:r>
        <w:t xml:space="preserve"> </w:t>
      </w:r>
      <w:r>
        <w:rPr>
          <w:rFonts w:ascii="Source Han Sans SC" w:hAnsi="Source Han Sans SC" w:eastAsia="Source Han Sans SC" w:cs="Source Han Sans SC"/>
          <w:color w:val="333333"/>
          <w:sz w:val="24"/>
        </w:rPr>
        <w:t xml:space="preserve"> تحقيق نمو في منطقة جديدة بأقل تكلفة ومخاطرة، دون الحاجة لبناء بنية تحتية معقدة للدفع المحلي.</w:t>
      </w:r>
    </w:p>
    <w:p>
      <w:pPr>
        <w:spacing w:after="0" w:before="192"/>
      </w:pPr>
      <w:r>
        <w:rPr>
          <w:rFonts w:ascii="Source Han Sans SC" w:hAnsi="Source Han Sans SC" w:eastAsia="Source Han Sans SC" w:cs="Source Han Sans SC"/>
          <w:b w:val="0"/>
          <w:color w:val="333333"/>
          <w:sz w:val="24"/>
        </w:rPr>
        <w:t>هذا النموذج يحول أحد أكبر التحديات في السوق الأفريقي (الدفع) إلى أكبر فرصة للمنصة الموريتانية، ويضعها في قلب النظام البيئي الرقمي في المنطقة.</w:t>
      </w:r>
    </w:p>
    <w:p>
      <w:pPr>
        <w:jc w:val="center"/>
      </w:pPr>
      <w:r>
        <w:drawing>
          <wp:inline distT="0" distB="0" distL="0" distR="0">
            <wp:extent cx="5486400" cy="3200400"/>
            <wp:effectExtent l="0" t="0" r="0" b="0"/>
            <wp:docPr id="1005" name="Chart 1005"/>
            <wp:cNvGraphicFramePr/>
            <a:graphic>
              <a:graphicData uri="http://schemas.openxmlformats.org/drawingml/2006/chart">
                <c:chart xmlns:r="http://schemas.openxmlformats.org/officeDocument/2006/relationships" r:id="rId38"/>
              </a:graphicData>
            </a:graphic>
          </wp:inline>
        </w:drawing>
      </w:r>
    </w:p>
    <w:p>
      <w:pPr>
        <w:spacing w:after="0"/>
        <w:jc w:val="center"/>
      </w:pPr>
      <w:r>
        <w:rPr>
          <w:rFonts w:ascii="Source Han Sans SC" w:hAnsi="Source Han Sans SC" w:eastAsia="Source Han Sans SC" w:cs="Source Han Sans SC"/>
          <w:color w:val="777777"/>
          <w:sz w:val="20"/>
        </w:rPr>
        <w:t xml:space="preserve">المصدر: </w:t>
      </w:r>
      <w:hyperlink r:id="rId9">
        <w:r>
          <w:rPr>
            <w:rFonts w:ascii="Source Han Sans SC" w:hAnsi="Source Han Sans SC" w:eastAsia="Source Han Sans SC" w:cs="Source Han Sans SC"/>
            <w:sz w:val="20"/>
            <w:color w:val="777777"/>
          </w:rPr>
          <w:t>Business of Apps (بيانات 2018-2024)</w:t>
        </w:r>
      </w:hyperlink>
    </w:p>
    <w:p>
      <w:pPr>
        <w:pStyle w:val="Heading1"/>
        <w:spacing w:after="0" w:before="499"/>
        <w:jc w:val="left"/>
        <w:pBdr>
          <w:bottom w:val="single" w:sz="8" w:space="2" w:color="E0E0E0"/>
        </w:pBdr>
      </w:pPr>
      <w:r>
        <w:rPr>
          <w:rFonts w:ascii="Microsoft YaHei" w:hAnsi="Microsoft YaHei" w:eastAsia="Microsoft YaHei" w:cs="Microsoft YaHei"/>
          <w:color w:val="333333"/>
          <w:sz w:val="38"/>
        </w:rPr>
        <w:t>المتطلبات التقنية والأمنية للمنصة</w:t>
      </w:r>
    </w:p>
    <w:p>
      <w:pPr>
        <w:spacing w:after="0" w:before="192"/>
      </w:pPr>
      <w:r>
        <w:rPr>
          <w:rFonts w:ascii="Source Han Sans SC" w:hAnsi="Source Han Sans SC" w:eastAsia="Source Han Sans SC" w:cs="Source Han Sans SC"/>
          <w:b w:val="0"/>
          <w:color w:val="333333"/>
          <w:sz w:val="24"/>
        </w:rPr>
        <w:t>لتحقيق هذه الرؤية، تحتاج المنصة إلى بنية تحتية تقنية قوية وآمنة. يمكن تقسيم المتطلبات إلى قسمين: الأدوات التقنية الأساسية، وأدوات الأمان والحماية.</w:t>
      </w:r>
    </w:p>
    <w:p>
      <w:pPr>
        <w:pStyle w:val="Heading2"/>
        <w:spacing w:lineRule="exact" w:line="318" w:after="0" w:before="288"/>
      </w:pPr>
      <w:r>
        <w:rPr>
          <w:rFonts w:ascii="Microsoft YaHei" w:hAnsi="Microsoft YaHei" w:eastAsia="Microsoft YaHei" w:cs="Microsoft YaHei"/>
          <w:color w:val="333333"/>
          <w:sz w:val="28"/>
        </w:rPr>
        <w:t>الأدوات التقنية الأساسية (Tech Stack)</w:t>
      </w:r>
    </w:p>
    <w:p>
      <w:pPr>
        <w:spacing w:after="0" w:before="192"/>
      </w:pPr>
      <w:r>
        <w:rPr>
          <w:rFonts w:ascii="Source Han Sans SC" w:hAnsi="Source Han Sans SC" w:eastAsia="Source Han Sans SC" w:cs="Source Han Sans SC"/>
          <w:b w:val="0"/>
          <w:color w:val="333333"/>
          <w:sz w:val="24"/>
        </w:rPr>
        <w:t>بدلاً من بناء كل شيء من الصفر، وهو أمر مكلف ومعقد، يمكن للمنصة الاعتماد على حلول جاهزة (Software as a Service - SaaS) متخصصة في إطلاق منصات البث (OTT)، مع التركيز على تخصيص الواجهات الأمامية لتناسب الهوية الموريتانية. المكونات الأساسية هي:</w:t>
      </w:r>
    </w:p>
    <w:p>
      <w:pPr>
        <w:pStyle w:val="ListBullet"/>
        <w:spacing w:line="240" w:lineRule="auto" w:after="20" w:before="0"/>
      </w:pPr>
      <w:r>
        <w:rPr>
          <w:rFonts w:ascii="Source Han Sans SC" w:hAnsi="Source Han Sans SC" w:eastAsia="Source Han Sans SC" w:cs="Source Han Sans SC"/>
          <w:b w:val="0"/>
          <w:color w:val="333333"/>
          <w:sz w:val="24"/>
        </w:rPr>
        <w:t>منصة إدارة الفيديو (VMS/OVP):</w:t>
      </w:r>
      <w:r>
        <w:t xml:space="preserve"> </w:t>
      </w:r>
      <w:r>
        <w:rPr>
          <w:rFonts w:ascii="Source Han Sans SC" w:hAnsi="Source Han Sans SC" w:eastAsia="Source Han Sans SC" w:cs="Source Han Sans SC"/>
          <w:color w:val="333333"/>
          <w:sz w:val="24"/>
        </w:rPr>
        <w:t xml:space="preserve"> هي لوحة التحكم المركزية للمنصة. من خلالها يتم رفع المحتوى، إضافة البيانات الوصفية (الوصف، الممثلون، الصور)، تنظيم الفئات، وإدارة المشتركين. منصات مثل </w:t>
      </w:r>
      <w:hyperlink r:id="rId26">
        <w:r>
          <w:rPr>
            <w:rFonts w:ascii="Source Han Sans SC" w:hAnsi="Source Han Sans SC" w:eastAsia="Source Han Sans SC" w:cs="Source Han Sans SC"/>
            <w:sz w:val="24"/>
            <w:color w:val="333333"/>
          </w:rPr>
          <w:t>Vodlix</w:t>
        </w:r>
      </w:hyperlink>
      <w:r>
        <w:rPr>
          <w:rFonts w:ascii="Source Han Sans SC" w:hAnsi="Source Han Sans SC" w:eastAsia="Source Han Sans SC" w:cs="Source Han Sans SC"/>
          <w:color w:val="333333"/>
          <w:sz w:val="24"/>
        </w:rPr>
        <w:t xml:space="preserve"> أو </w:t>
      </w:r>
      <w:hyperlink r:id="rId27">
        <w:r>
          <w:rPr>
            <w:rFonts w:ascii="Source Han Sans SC" w:hAnsi="Source Han Sans SC" w:eastAsia="Source Han Sans SC" w:cs="Source Han Sans SC"/>
            <w:sz w:val="24"/>
            <w:color w:val="333333"/>
          </w:rPr>
          <w:t>Muvi</w:t>
        </w:r>
      </w:hyperlink>
      <w:r>
        <w:rPr>
          <w:rFonts w:ascii="Source Han Sans SC" w:hAnsi="Source Han Sans SC" w:eastAsia="Source Han Sans SC" w:cs="Source Han Sans SC"/>
          <w:color w:val="333333"/>
          <w:sz w:val="24"/>
        </w:rPr>
        <w:t xml:space="preserve"> تقدم حلولاً متكاملة مصممة للأسواق الناشئة، وتدعم نماذج الربح المختلفة والدفع عبر الهاتف.</w:t>
      </w:r>
    </w:p>
    <w:p>
      <w:pPr>
        <w:pStyle w:val="ListBullet"/>
        <w:spacing w:line="240" w:lineRule="auto" w:after="20" w:before="0"/>
      </w:pPr>
      <w:r>
        <w:rPr>
          <w:rFonts w:ascii="Source Han Sans SC" w:hAnsi="Source Han Sans SC" w:eastAsia="Source Han Sans SC" w:cs="Source Han Sans SC"/>
          <w:b w:val="0"/>
          <w:color w:val="333333"/>
          <w:sz w:val="24"/>
        </w:rPr>
        <w:t>شبكة توصيل المحتوى (CDN - Content Delivery Network):</w:t>
      </w:r>
      <w:r>
        <w:t xml:space="preserve"> </w:t>
      </w:r>
      <w:r>
        <w:rPr>
          <w:rFonts w:ascii="Source Han Sans SC" w:hAnsi="Source Han Sans SC" w:eastAsia="Source Han Sans SC" w:cs="Source Han Sans SC"/>
          <w:color w:val="333333"/>
          <w:sz w:val="24"/>
        </w:rPr>
        <w:t xml:space="preserve"> هذا المكون حاسم لضمان تجربة مشاهدة سلسة. تقوم الـ CDN بتخزين نسخ من ملفات الفيديو على شبكة من الخوادم الموزعة جغرافياً حول العالم (أو في المنطقة). عندما يطلب مستخدم في نواكشوط مشاهدة فيديو، يتم بثه من أقرب خادم له (مثلاً في أوروبا) بدلاً من الخادم الأصلي (الذي قد يكون في أمريكا)، مما يقلل من زمن الاستجابة والتقطيع (Buffering). من أشهر مزودي هذه الخدمة AWS CloudFront و Akamai و Cloudflare (</w:t>
      </w:r>
      <w:hyperlink r:id="rId28">
        <w:r>
          <w:rPr>
            <w:rFonts w:ascii="Source Han Sans SC" w:hAnsi="Source Han Sans SC" w:eastAsia="Source Han Sans SC" w:cs="Source Han Sans SC"/>
            <w:sz w:val="24"/>
            <w:color w:val="333333"/>
          </w:rPr>
          <w:t>IBM</w:t>
        </w:r>
      </w:hyperlink>
      <w:r>
        <w:rPr>
          <w:rFonts w:ascii="Source Han Sans SC" w:hAnsi="Source Han Sans SC" w:eastAsia="Source Han Sans SC" w:cs="Source Han Sans SC"/>
          <w:color w:val="333333"/>
          <w:sz w:val="24"/>
        </w:rPr>
        <w:t>).</w:t>
      </w:r>
    </w:p>
    <w:p>
      <w:pPr>
        <w:pStyle w:val="ListBullet"/>
        <w:spacing w:line="240" w:lineRule="auto" w:after="20" w:before="0"/>
      </w:pPr>
      <w:r>
        <w:rPr>
          <w:rFonts w:ascii="Source Han Sans SC" w:hAnsi="Source Han Sans SC" w:eastAsia="Source Han Sans SC" w:cs="Source Han Sans SC"/>
          <w:b w:val="0"/>
          <w:color w:val="333333"/>
          <w:sz w:val="24"/>
        </w:rPr>
        <w:t>ترميز الفيديو (Video Encoding/Transcoding):</w:t>
      </w:r>
      <w:r>
        <w:t xml:space="preserve"> </w:t>
      </w:r>
      <w:r>
        <w:rPr>
          <w:rFonts w:ascii="Source Han Sans SC" w:hAnsi="Source Han Sans SC" w:eastAsia="Source Han Sans SC" w:cs="Source Han Sans SC"/>
          <w:color w:val="333333"/>
          <w:sz w:val="24"/>
        </w:rPr>
        <w:t xml:space="preserve"> عند رفع ملف فيديو واحد، يجب تحويله (ترميزه) إلى عدة صيغ وأحجام مختلفة لتناسب سرعات الإنترنت المتفاوتة للمستخدمين. هذه التقنية تسمى "البث بمعدل البت التكيفي" (Adaptive Bitrate Streaming). إذا كان اتصال المستخدم ضعيفاً، يقوم المشغل تلقائياً باختيار النسخة ذات الجودة الأقل لضمان استمرار التشغيل. يتم استخدام برامج ترميز (Codecs) حديثة مثل H.265 (HEVC) أو AV1 لضغط الفيديو بكفاءة عالية مع الحفاظ على الجودة، مما يوفر في استهلاك البيانات (</w:t>
      </w:r>
      <w:hyperlink r:id="rId29">
        <w:r>
          <w:rPr>
            <w:rFonts w:ascii="Source Han Sans SC" w:hAnsi="Source Han Sans SC" w:eastAsia="Source Han Sans SC" w:cs="Source Han Sans SC"/>
            <w:sz w:val="24"/>
            <w:color w:val="333333"/>
          </w:rPr>
          <w:t>Vodlix on VVC</w:t>
        </w:r>
      </w:hyperlink>
      <w:r>
        <w:rPr>
          <w:rFonts w:ascii="Source Han Sans SC" w:hAnsi="Source Han Sans SC" w:eastAsia="Source Han Sans SC" w:cs="Source Han Sans SC"/>
          <w:color w:val="333333"/>
          <w:sz w:val="24"/>
        </w:rPr>
        <w:t>).</w:t>
      </w:r>
    </w:p>
    <w:p>
      <w:pPr>
        <w:pStyle w:val="ListBullet"/>
        <w:spacing w:line="240" w:lineRule="auto" w:after="20" w:before="0"/>
      </w:pPr>
      <w:r>
        <w:rPr>
          <w:rFonts w:ascii="Source Han Sans SC" w:hAnsi="Source Han Sans SC" w:eastAsia="Source Han Sans SC" w:cs="Source Han Sans SC"/>
          <w:b w:val="0"/>
          <w:color w:val="333333"/>
          <w:sz w:val="24"/>
        </w:rPr>
        <w:t>مشغل فيديو (Video Player):</w:t>
      </w:r>
      <w:r>
        <w:t xml:space="preserve"> </w:t>
      </w:r>
      <w:r>
        <w:rPr>
          <w:rFonts w:ascii="Source Han Sans SC" w:hAnsi="Source Han Sans SC" w:eastAsia="Source Han Sans SC" w:cs="Source Han Sans SC"/>
          <w:color w:val="333333"/>
          <w:sz w:val="24"/>
        </w:rPr>
        <w:t xml:space="preserve"> يجب أن يكون المشغل متوافقاً مع جميع الأجهزة والمتصفحات (HTML5 Player)، ويدعم ميزات أساسية مثل إضافة ملفات الترجمة، التحكم في جودة الفيديو، وتغيير سرعة التشغيل.</w:t>
      </w:r>
    </w:p>
    <w:p>
      <w:pPr>
        <w:pStyle w:val="ListBullet"/>
        <w:spacing w:line="240" w:lineRule="auto" w:after="20" w:before="0"/>
      </w:pPr>
      <w:r>
        <w:rPr>
          <w:rFonts w:ascii="Source Han Sans SC" w:hAnsi="Source Han Sans SC" w:eastAsia="Source Han Sans SC" w:cs="Source Han Sans SC"/>
          <w:b w:val="0"/>
          <w:color w:val="333333"/>
          <w:sz w:val="24"/>
        </w:rPr>
        <w:t>البنية التحتية السحابية (Cloud Infrastructure):</w:t>
      </w:r>
      <w:r>
        <w:t xml:space="preserve"> </w:t>
      </w:r>
      <w:r>
        <w:rPr>
          <w:rFonts w:ascii="Source Han Sans SC" w:hAnsi="Source Han Sans SC" w:eastAsia="Source Han Sans SC" w:cs="Source Han Sans SC"/>
          <w:color w:val="333333"/>
          <w:sz w:val="24"/>
        </w:rPr>
        <w:t xml:space="preserve"> استضافة المنصة بالكامل على خدمات سحابية مثل Amazon Web Services (AWS) أو Google Cloud أو Microsoft Azure يوفر مرونة هائلة وقدرة على التوسع. إذا زاد عدد المستخدمين فجأة، يمكن زيادة موارد الخوادم تلقائياً لتجنب تعطل الخدمة.</w:t>
      </w:r>
    </w:p>
    <w:p>
      <w:pPr>
        <w:pStyle w:val="Heading2"/>
        <w:spacing w:lineRule="exact" w:line="318" w:after="0" w:before="288"/>
      </w:pPr>
      <w:r>
        <w:rPr>
          <w:rFonts w:ascii="Microsoft YaHei" w:hAnsi="Microsoft YaHei" w:eastAsia="Microsoft YaHei" w:cs="Microsoft YaHei"/>
          <w:color w:val="333333"/>
          <w:sz w:val="28"/>
        </w:rPr>
        <w:t>أدوات وخيارات الأمان والحماية</w:t>
      </w:r>
    </w:p>
    <w:p>
      <w:pPr>
        <w:spacing w:after="0" w:before="192"/>
      </w:pPr>
      <w:r>
        <w:rPr>
          <w:rFonts w:ascii="Source Han Sans SC" w:hAnsi="Source Han Sans SC" w:eastAsia="Source Han Sans SC" w:cs="Source Han Sans SC"/>
          <w:b w:val="0"/>
          <w:color w:val="333333"/>
          <w:sz w:val="24"/>
        </w:rPr>
        <w:t>حماية المحتوى من القرصنة هي مسألة حياة أو موت للمنصة. إذا تم تسريب المحتوى الحصري، ينهار نموذج الاشتراك بالكامل. لذلك، يجب تطبيق عدة طبقات من الحماية:</w:t>
      </w:r>
    </w:p>
    <w:p>
      <w:pPr>
        <w:pStyle w:val="ListBullet"/>
        <w:spacing w:line="240" w:lineRule="auto" w:after="20" w:before="0"/>
      </w:pPr>
      <w:r>
        <w:rPr>
          <w:rFonts w:ascii="Source Han Sans SC" w:hAnsi="Source Han Sans SC" w:eastAsia="Source Han Sans SC" w:cs="Source Han Sans SC"/>
          <w:b w:val="0"/>
          <w:color w:val="333333"/>
          <w:sz w:val="24"/>
        </w:rPr>
        <w:t>إدارة الحقوق الرقمية (DRM - Digital Rights Management):</w:t>
      </w:r>
      <w:r>
        <w:t xml:space="preserve"> </w:t>
      </w:r>
      <w:r>
        <w:rPr>
          <w:rFonts w:ascii="Source Han Sans SC" w:hAnsi="Source Han Sans SC" w:eastAsia="Source Han Sans SC" w:cs="Source Han Sans SC"/>
          <w:color w:val="333333"/>
          <w:sz w:val="24"/>
        </w:rPr>
        <w:t xml:space="preserve"> هي التقنية الأهم والأقوى لمنع النسخ والتوزيع غير القانوني. تعمل الـ DRM عن طريق تشفير الفيديو، ولا يمكن فك تشفيره وتشغيله إلا على جهاز مرخص له. هناك ثلاثة أنظمة DRM رئيسية في السوق، ويجب على المنصة دعمها جميعاً (Multi-DRM) لتغطية كل الأجهزة (</w:t>
      </w:r>
      <w:hyperlink r:id="rId30">
        <w:r>
          <w:rPr>
            <w:rFonts w:ascii="Source Han Sans SC" w:hAnsi="Source Han Sans SC" w:eastAsia="Source Han Sans SC" w:cs="Source Han Sans SC"/>
            <w:sz w:val="24"/>
            <w:color w:val="333333"/>
          </w:rPr>
          <w:t>VdoCipher</w:t>
        </w:r>
      </w:hyperlink>
      <w:r>
        <w:rPr>
          <w:rFonts w:ascii="Source Han Sans SC" w:hAnsi="Source Han Sans SC" w:eastAsia="Source Han Sans SC" w:cs="Source Han Sans SC"/>
          <w:color w:val="333333"/>
          <w:sz w:val="24"/>
        </w:rPr>
        <w:t xml:space="preserve">): </w:t>
      </w:r>
      <w:r>
        <w:t xml:space="preserve"> </w:t>
      </w:r>
    </w:p>
    <w:p>
      <w:pPr>
        <w:pStyle w:val="ListBullet"/>
        <w:spacing w:line="240" w:lineRule="auto" w:after="20" w:before="0"/>
        <w:ind w:left="720"/>
      </w:pPr>
      <w:r>
        <w:rPr>
          <w:rFonts w:ascii="Source Han Sans SC" w:hAnsi="Source Han Sans SC" w:eastAsia="Source Han Sans SC" w:cs="Source Han Sans SC"/>
          <w:b w:val="0"/>
          <w:color w:val="333333"/>
          <w:sz w:val="24"/>
        </w:rPr>
        <w:t>Google Widevine:</w:t>
      </w:r>
      <w:r>
        <w:t xml:space="preserve"> </w:t>
      </w:r>
      <w:r>
        <w:rPr>
          <w:rFonts w:ascii="Source Han Sans SC" w:hAnsi="Source Han Sans SC" w:eastAsia="Source Han Sans SC" w:cs="Source Han Sans SC"/>
          <w:color w:val="333333"/>
          <w:sz w:val="24"/>
        </w:rPr>
        <w:t xml:space="preserve"> للمتصفحات مثل Chrome و Firefox و Edge، وجميع أجهزة Android.</w:t>
      </w:r>
    </w:p>
    <w:p>
      <w:pPr>
        <w:pStyle w:val="ListBullet"/>
        <w:spacing w:line="240" w:lineRule="auto" w:after="20" w:before="0"/>
        <w:ind w:left="720"/>
      </w:pPr>
      <w:r>
        <w:rPr>
          <w:rFonts w:ascii="Source Han Sans SC" w:hAnsi="Source Han Sans SC" w:eastAsia="Source Han Sans SC" w:cs="Source Han Sans SC"/>
          <w:b w:val="0"/>
          <w:color w:val="333333"/>
          <w:sz w:val="24"/>
        </w:rPr>
        <w:t>Apple FairPlay:</w:t>
      </w:r>
      <w:r>
        <w:t xml:space="preserve"> </w:t>
      </w:r>
      <w:r>
        <w:rPr>
          <w:rFonts w:ascii="Source Han Sans SC" w:hAnsi="Source Han Sans SC" w:eastAsia="Source Han Sans SC" w:cs="Source Han Sans SC"/>
          <w:color w:val="333333"/>
          <w:sz w:val="24"/>
        </w:rPr>
        <w:t xml:space="preserve"> لمتصفح Safari على أجهزة Mac و iOS، وتطبيقات iPhone و iPad و Apple TV.</w:t>
      </w:r>
    </w:p>
    <w:p>
      <w:pPr>
        <w:pStyle w:val="ListBullet"/>
        <w:spacing w:line="240" w:lineRule="auto" w:after="20" w:before="0"/>
        <w:ind w:left="720"/>
      </w:pPr>
      <w:r>
        <w:rPr>
          <w:rFonts w:ascii="Source Han Sans SC" w:hAnsi="Source Han Sans SC" w:eastAsia="Source Han Sans SC" w:cs="Source Han Sans SC"/>
          <w:b w:val="0"/>
          <w:color w:val="333333"/>
          <w:sz w:val="24"/>
        </w:rPr>
        <w:t>Microsoft PlayReady:</w:t>
      </w:r>
      <w:r>
        <w:t xml:space="preserve"> </w:t>
      </w:r>
      <w:r>
        <w:rPr>
          <w:rFonts w:ascii="Source Han Sans SC" w:hAnsi="Source Han Sans SC" w:eastAsia="Source Han Sans SC" w:cs="Source Han Sans SC"/>
          <w:color w:val="333333"/>
          <w:sz w:val="24"/>
        </w:rPr>
        <w:t xml:space="preserve"> كان يستخدم لمتصفح Edge القديم وبعض الأجهزة الأخرى، لكن Widevine أصبح هو السائد على Windows.</w:t>
      </w:r>
    </w:p>
    <w:p>
      <w:pPr>
        <w:pStyle w:val="ListBullet"/>
        <w:spacing w:line="240" w:lineRule="auto" w:after="20" w:before="0"/>
      </w:pPr>
      <w:r>
        <w:rPr>
          <w:rFonts w:ascii="Source Han Sans SC" w:hAnsi="Source Han Sans SC" w:eastAsia="Source Han Sans SC" w:cs="Source Han Sans SC"/>
          <w:b w:val="0"/>
          <w:color w:val="333333"/>
          <w:sz w:val="24"/>
        </w:rPr>
        <w:t>العلامة المائية (Watermarking):</w:t>
      </w:r>
      <w:r>
        <w:t xml:space="preserve"> </w:t>
      </w:r>
      <w:r>
        <w:rPr>
          <w:rFonts w:ascii="Source Han Sans SC" w:hAnsi="Source Han Sans SC" w:eastAsia="Source Han Sans SC" w:cs="Source Han Sans SC"/>
          <w:color w:val="333333"/>
          <w:sz w:val="24"/>
        </w:rPr>
        <w:t xml:space="preserve"> تضيف طبقة أمان إضافية. </w:t>
      </w:r>
      <w:r>
        <w:t xml:space="preserve"> </w:t>
      </w:r>
    </w:p>
    <w:p>
      <w:pPr>
        <w:pStyle w:val="ListBullet"/>
        <w:spacing w:line="240" w:lineRule="auto" w:after="20" w:before="0"/>
        <w:ind w:left="720"/>
      </w:pPr>
      <w:r>
        <w:rPr>
          <w:rFonts w:ascii="Source Han Sans SC" w:hAnsi="Source Han Sans SC" w:eastAsia="Source Han Sans SC" w:cs="Source Han Sans SC"/>
          <w:b w:val="0"/>
          <w:color w:val="333333"/>
          <w:sz w:val="24"/>
        </w:rPr>
        <w:t>العلامة المائية المرئية (Visible Watermark):</w:t>
      </w:r>
      <w:r>
        <w:t xml:space="preserve"> </w:t>
      </w:r>
      <w:r>
        <w:rPr>
          <w:rFonts w:ascii="Source Han Sans SC" w:hAnsi="Source Han Sans SC" w:eastAsia="Source Han Sans SC" w:cs="Source Han Sans SC"/>
          <w:color w:val="333333"/>
          <w:sz w:val="24"/>
        </w:rPr>
        <w:t xml:space="preserve"> وضع شعار المنصة بشكل شبه شفاف على الفيديو لردع من يحاول تسجيل الشاشة.</w:t>
      </w:r>
    </w:p>
    <w:p>
      <w:pPr>
        <w:pStyle w:val="ListBullet"/>
        <w:spacing w:line="240" w:lineRule="auto" w:after="20" w:before="0"/>
        <w:ind w:left="720"/>
      </w:pPr>
      <w:r>
        <w:rPr>
          <w:rFonts w:ascii="Source Han Sans SC" w:hAnsi="Source Han Sans SC" w:eastAsia="Source Han Sans SC" w:cs="Source Han Sans SC"/>
          <w:b w:val="0"/>
          <w:color w:val="333333"/>
          <w:sz w:val="24"/>
        </w:rPr>
        <w:t>العلامة المائية الجنائية (Forensic Watermark):</w:t>
      </w:r>
      <w:r>
        <w:t xml:space="preserve"> </w:t>
      </w:r>
      <w:r>
        <w:rPr>
          <w:rFonts w:ascii="Source Han Sans SC" w:hAnsi="Source Han Sans SC" w:eastAsia="Source Han Sans SC" w:cs="Source Han Sans SC"/>
          <w:color w:val="333333"/>
          <w:sz w:val="24"/>
        </w:rPr>
        <w:t xml:space="preserve"> هي تقنية متقدمة تقوم بتضمين معرف فريد لكل جلسة مشاهدة (مرتبط بحساب المستخدم وعنوان IP الخاص به) بشكل غير مرئي داخل الفيديو. إذا تم تسريب نسخة من الفيديو على الإنترنت، يمكن للمنصة تحليل الملف المسرب واستخراج هذا المعرف الفريد وتحديد حساب المستخدم الذي قام بالتسريب واتخاذ الإجراءات القانونية بحقه (</w:t>
      </w:r>
      <w:hyperlink r:id="rId31">
        <w:r>
          <w:rPr>
            <w:rFonts w:ascii="Source Han Sans SC" w:hAnsi="Source Han Sans SC" w:eastAsia="Source Han Sans SC" w:cs="Source Han Sans SC"/>
            <w:sz w:val="24"/>
            <w:color w:val="333333"/>
          </w:rPr>
          <w:t>Harmonic Inc.</w:t>
        </w:r>
      </w:hyperlink>
      <w:r>
        <w:rPr>
          <w:rFonts w:ascii="Source Han Sans SC" w:hAnsi="Source Han Sans SC" w:eastAsia="Source Han Sans SC" w:cs="Source Han Sans SC"/>
          <w:color w:val="333333"/>
          <w:sz w:val="24"/>
        </w:rPr>
        <w:t>).</w:t>
      </w:r>
    </w:p>
    <w:p>
      <w:pPr>
        <w:pStyle w:val="ListBullet"/>
        <w:spacing w:line="240" w:lineRule="auto" w:after="20" w:before="0"/>
      </w:pPr>
      <w:r>
        <w:rPr>
          <w:rFonts w:ascii="Source Han Sans SC" w:hAnsi="Source Han Sans SC" w:eastAsia="Source Han Sans SC" w:cs="Source Han Sans SC"/>
          <w:b w:val="0"/>
          <w:color w:val="333333"/>
          <w:sz w:val="24"/>
        </w:rPr>
        <w:t>التحكم في الوصول (Access Control):</w:t>
      </w:r>
      <w:r>
        <w:t xml:space="preserve"> </w:t>
      </w:r>
      <w:r>
        <w:t xml:space="preserve"> </w:t>
      </w:r>
    </w:p>
    <w:p>
      <w:pPr>
        <w:pStyle w:val="ListBullet"/>
        <w:spacing w:line="240" w:lineRule="auto" w:after="20" w:before="0"/>
        <w:ind w:left="720"/>
      </w:pPr>
      <w:r>
        <w:rPr>
          <w:rFonts w:ascii="Source Han Sans SC" w:hAnsi="Source Han Sans SC" w:eastAsia="Source Han Sans SC" w:cs="Source Han Sans SC"/>
          <w:b w:val="0"/>
          <w:color w:val="333333"/>
          <w:sz w:val="24"/>
        </w:rPr>
        <w:t>حماية بكلمة مرور وتشفير الحسابات:</w:t>
      </w:r>
      <w:r>
        <w:t xml:space="preserve"> </w:t>
      </w:r>
      <w:r>
        <w:rPr>
          <w:rFonts w:ascii="Source Han Sans SC" w:hAnsi="Source Han Sans SC" w:eastAsia="Source Han Sans SC" w:cs="Source Han Sans SC"/>
          <w:color w:val="333333"/>
          <w:sz w:val="24"/>
        </w:rPr>
        <w:t xml:space="preserve"> استخدام كلمات مرور قوية وتشفير بيانات المستخدمين لمنع اختراق الحسابات.</w:t>
      </w:r>
    </w:p>
    <w:p>
      <w:pPr>
        <w:pStyle w:val="ListBullet"/>
        <w:spacing w:line="240" w:lineRule="auto" w:after="20" w:before="0"/>
        <w:ind w:left="720"/>
      </w:pPr>
      <w:r>
        <w:rPr>
          <w:rFonts w:ascii="Source Han Sans SC" w:hAnsi="Source Han Sans SC" w:eastAsia="Source Han Sans SC" w:cs="Source Han Sans SC"/>
          <w:b w:val="0"/>
          <w:color w:val="333333"/>
          <w:sz w:val="24"/>
        </w:rPr>
        <w:t>القيود الجغرافية (Geo-blocking):</w:t>
      </w:r>
      <w:r>
        <w:t xml:space="preserve"> </w:t>
      </w:r>
      <w:r>
        <w:rPr>
          <w:rFonts w:ascii="Source Han Sans SC" w:hAnsi="Source Han Sans SC" w:eastAsia="Source Han Sans SC" w:cs="Source Han Sans SC"/>
          <w:color w:val="333333"/>
          <w:sz w:val="24"/>
        </w:rPr>
        <w:t xml:space="preserve"> استخدام عنوان IP الخاص بالمستخدم لتحديد موقعه الجغرافي، والسماح له بمشاهدة المحتوى المسموح به في بلده فقط، بناءً على عقود الترخيص.</w:t>
      </w:r>
    </w:p>
    <w:p>
      <w:pPr>
        <w:pStyle w:val="ListBullet"/>
        <w:spacing w:line="240" w:lineRule="auto" w:after="20" w:before="0"/>
        <w:ind w:left="720"/>
      </w:pPr>
      <w:r>
        <w:rPr>
          <w:rFonts w:ascii="Source Han Sans SC" w:hAnsi="Source Han Sans SC" w:eastAsia="Source Han Sans SC" w:cs="Source Han Sans SC"/>
          <w:b w:val="0"/>
          <w:color w:val="333333"/>
          <w:sz w:val="24"/>
        </w:rPr>
        <w:t>قيود على الأجهزة والجلسات المتزامنة:</w:t>
      </w:r>
      <w:r>
        <w:t xml:space="preserve"> </w:t>
      </w:r>
      <w:r>
        <w:rPr>
          <w:rFonts w:ascii="Source Han Sans SC" w:hAnsi="Source Han Sans SC" w:eastAsia="Source Han Sans SC" w:cs="Source Han Sans SC"/>
          <w:color w:val="333333"/>
          <w:sz w:val="24"/>
        </w:rPr>
        <w:t xml:space="preserve"> تحديد عدد الأجهزة التي يمكن ربطها بحساب واحد، وعدد الشاشات التي يمكنها المشاهدة في نفس الوقت. هذا يحد بشكل كبير من ممارسة مشاركة كلمة المرور بين الأصدقاء والعائلة.</w:t>
      </w:r>
    </w:p>
    <w:p>
      <w:pPr>
        <w:pStyle w:val="ListBullet"/>
        <w:spacing w:line="240" w:lineRule="auto" w:after="20" w:before="0"/>
        <w:ind w:left="720"/>
      </w:pPr>
      <w:r>
        <w:rPr>
          <w:rFonts w:ascii="Source Han Sans SC" w:hAnsi="Source Han Sans SC" w:eastAsia="Source Han Sans SC" w:cs="Source Han Sans SC"/>
          <w:b w:val="0"/>
          <w:color w:val="333333"/>
          <w:sz w:val="24"/>
        </w:rPr>
        <w:t>منع تضمين الفيديو (Embedding Control):</w:t>
      </w:r>
      <w:r>
        <w:t xml:space="preserve"> </w:t>
      </w:r>
      <w:r>
        <w:rPr>
          <w:rFonts w:ascii="Source Han Sans SC" w:hAnsi="Source Han Sans SC" w:eastAsia="Source Han Sans SC" w:cs="Source Han Sans SC"/>
          <w:color w:val="333333"/>
          <w:sz w:val="24"/>
        </w:rPr>
        <w:t xml:space="preserve"> منع المواقع الأخرى من تضمين مشغل الفيديو الخاص بالمنصة في صفحاتها.</w:t>
      </w:r>
    </w:p>
    <w:p>
      <w:pPr>
        <w:pStyle w:val="ListBullet"/>
        <w:spacing w:line="240" w:lineRule="auto" w:after="20" w:before="0"/>
      </w:pPr>
      <w:r>
        <w:rPr>
          <w:rFonts w:ascii="Source Han Sans SC" w:hAnsi="Source Han Sans SC" w:eastAsia="Source Han Sans SC" w:cs="Source Han Sans SC"/>
          <w:b w:val="0"/>
          <w:color w:val="333333"/>
          <w:sz w:val="24"/>
        </w:rPr>
        <w:t>أمان البنية التحتية:</w:t>
      </w:r>
      <w:r>
        <w:t xml:space="preserve"> </w:t>
      </w:r>
      <w:r>
        <w:rPr>
          <w:rFonts w:ascii="Source Han Sans SC" w:hAnsi="Source Han Sans SC" w:eastAsia="Source Han Sans SC" w:cs="Source Han Sans SC"/>
          <w:color w:val="333333"/>
          <w:sz w:val="24"/>
        </w:rPr>
        <w:t xml:space="preserve"> حماية الخوادم من الهجمات الإلكترونية باستخدام جدران الحماية (Firewalls)، وخدمات الحماية من هجمات حجب الخدمة الموزعة (DDoS Protection)، وإجراء تدقيقات أمنية دورية (Security Audits) للكشف عن أي ثغرات (</w:t>
      </w:r>
      <w:hyperlink r:id="rId32">
        <w:r>
          <w:rPr>
            <w:rFonts w:ascii="Source Han Sans SC" w:hAnsi="Source Han Sans SC" w:eastAsia="Source Han Sans SC" w:cs="Source Han Sans SC"/>
            <w:sz w:val="24"/>
            <w:color w:val="333333"/>
          </w:rPr>
          <w:t>EnterpriseTube</w:t>
        </w:r>
      </w:hyperlink>
      <w:r>
        <w:rPr>
          <w:rFonts w:ascii="Source Han Sans SC" w:hAnsi="Source Han Sans SC" w:eastAsia="Source Han Sans SC" w:cs="Source Han Sans SC"/>
          <w:color w:val="333333"/>
          <w:sz w:val="24"/>
        </w:rPr>
        <w:t>).</w:t>
      </w:r>
    </w:p>
    <w:p>
      <w:pPr>
        <w:pStyle w:val="Heading3"/>
        <w:shd w:val="clear" w:color="auto" w:fill="eef4ff"/>
        <w:spacing w:lineRule="exact" w:line="292" w:after="0"/>
      </w:pPr>
      <w:r>
        <w:rPr>
          <w:rFonts w:ascii="Microsoft YaHei" w:hAnsi="Microsoft YaHei" w:eastAsia="Microsoft YaHei" w:cs="Microsoft YaHei"/>
          <w:i w:val="0"/>
          <w:color w:val="333333"/>
          <w:sz w:val="26"/>
        </w:rPr>
        <w:t>نقاط رئيسية في التكنولوجيا والأمان</w:t>
      </w:r>
    </w:p>
    <w:p>
      <w:pPr>
        <w:pStyle w:val="ListBullet"/>
        <w:shd w:val="clear" w:color="auto" w:fill="eef4ff"/>
        <w:spacing w:line="240" w:lineRule="auto" w:after="20" w:before="0"/>
      </w:pPr>
      <w:r>
        <w:rPr>
          <w:rFonts w:ascii="Source Han Sans SC" w:hAnsi="Source Han Sans SC" w:eastAsia="Source Han Sans SC" w:cs="Source Han Sans SC"/>
          <w:b w:val="0"/>
          <w:color w:val="333333"/>
          <w:sz w:val="24"/>
        </w:rPr>
        <w:t>الاعتماد على الحلول الجاهزة (SaaS):</w:t>
      </w:r>
      <w:r>
        <w:t xml:space="preserve"> </w:t>
      </w:r>
      <w:r>
        <w:rPr>
          <w:rFonts w:ascii="Source Han Sans SC" w:hAnsi="Source Han Sans SC" w:eastAsia="Source Han Sans SC" w:cs="Source Han Sans SC"/>
          <w:color w:val="333333"/>
          <w:sz w:val="24"/>
        </w:rPr>
        <w:t xml:space="preserve"> لتقليل التكلفة والوقت اللازمين لإطلاق المنصة.</w:t>
      </w:r>
    </w:p>
    <w:p>
      <w:pPr>
        <w:pStyle w:val="ListBullet"/>
        <w:shd w:val="clear" w:color="auto" w:fill="eef4ff"/>
        <w:spacing w:line="240" w:lineRule="auto" w:after="20" w:before="0"/>
      </w:pPr>
      <w:r>
        <w:rPr>
          <w:rFonts w:ascii="Source Han Sans SC" w:hAnsi="Source Han Sans SC" w:eastAsia="Source Han Sans SC" w:cs="Source Han Sans SC"/>
          <w:b w:val="0"/>
          <w:color w:val="333333"/>
          <w:sz w:val="24"/>
        </w:rPr>
        <w:t>شبكة CDN ضرورية:</w:t>
      </w:r>
      <w:r>
        <w:t xml:space="preserve"> </w:t>
      </w:r>
      <w:r>
        <w:rPr>
          <w:rFonts w:ascii="Source Han Sans SC" w:hAnsi="Source Han Sans SC" w:eastAsia="Source Han Sans SC" w:cs="Source Han Sans SC"/>
          <w:color w:val="333333"/>
          <w:sz w:val="24"/>
        </w:rPr>
        <w:t xml:space="preserve"> لا يمكن إطلاق خدمة بث بدونها لضمان تجربة مشاهدة سلسة.</w:t>
      </w:r>
    </w:p>
    <w:p>
      <w:pPr>
        <w:pStyle w:val="ListBullet"/>
        <w:shd w:val="clear" w:color="auto" w:fill="eef4ff"/>
        <w:spacing w:line="240" w:lineRule="auto" w:after="20" w:before="0"/>
      </w:pPr>
      <w:r>
        <w:rPr>
          <w:rFonts w:ascii="Source Han Sans SC" w:hAnsi="Source Han Sans SC" w:eastAsia="Source Han Sans SC" w:cs="Source Han Sans SC"/>
          <w:b w:val="0"/>
          <w:color w:val="333333"/>
          <w:sz w:val="24"/>
        </w:rPr>
        <w:t>الأمان متعدد الطبقات:</w:t>
      </w:r>
      <w:r>
        <w:t xml:space="preserve"> </w:t>
      </w:r>
      <w:r>
        <w:rPr>
          <w:rFonts w:ascii="Source Han Sans SC" w:hAnsi="Source Han Sans SC" w:eastAsia="Source Han Sans SC" w:cs="Source Han Sans SC"/>
          <w:color w:val="333333"/>
          <w:sz w:val="24"/>
        </w:rPr>
        <w:t xml:space="preserve"> لا يمكن الاعتماد على تقنية واحدة. يجب الجمع بين DRM، والعلامة المائية، والتحكم في الوصول لتوفير حماية فعالة ضد القرصنة.</w:t>
      </w:r>
    </w:p>
    <w:p>
      <w:pPr>
        <w:pStyle w:val="ListBullet"/>
        <w:shd w:val="clear" w:color="auto" w:fill="eef4ff"/>
        <w:spacing w:line="240" w:lineRule="auto" w:after="20" w:before="0"/>
      </w:pPr>
      <w:r>
        <w:rPr>
          <w:rFonts w:ascii="Source Han Sans SC" w:hAnsi="Source Han Sans SC" w:eastAsia="Source Han Sans SC" w:cs="Source Han Sans SC"/>
          <w:b w:val="0"/>
          <w:color w:val="333333"/>
          <w:sz w:val="24"/>
        </w:rPr>
        <w:t>الاستثمار في الحماية يساوي حماية الاستثمار:</w:t>
      </w:r>
      <w:r>
        <w:t xml:space="preserve"> </w:t>
      </w:r>
      <w:r>
        <w:rPr>
          <w:rFonts w:ascii="Source Han Sans SC" w:hAnsi="Source Han Sans SC" w:eastAsia="Source Han Sans SC" w:cs="Source Han Sans SC"/>
          <w:color w:val="333333"/>
          <w:sz w:val="24"/>
        </w:rPr>
        <w:t xml:space="preserve"> تكلفة تطبيق هذه التقنيات الأمنية هي استثمار ضروري لحماية الإيرادات المستقبلية للمنصة.</w:t>
      </w:r>
    </w:p>
    <w:p>
      <w:pPr>
        <w:pStyle w:val="Heading1"/>
        <w:spacing w:after="0" w:before="499"/>
        <w:jc w:val="left"/>
        <w:pBdr>
          <w:bottom w:val="single" w:sz="8" w:space="2" w:color="E0E0E0"/>
        </w:pBdr>
      </w:pPr>
      <w:r>
        <w:rPr>
          <w:rFonts w:ascii="Microsoft YaHei" w:hAnsi="Microsoft YaHei" w:eastAsia="Microsoft YaHei" w:cs="Microsoft YaHei"/>
          <w:color w:val="333333"/>
          <w:sz w:val="38"/>
        </w:rPr>
        <w:t>الخلاصة والتوصيات النهائية</w:t>
      </w:r>
    </w:p>
    <w:p>
      <w:pPr>
        <w:spacing w:after="0" w:before="192"/>
      </w:pPr>
      <w:r>
        <w:rPr>
          <w:rFonts w:ascii="Source Han Sans SC" w:hAnsi="Source Han Sans SC" w:eastAsia="Source Han Sans SC" w:cs="Source Han Sans SC"/>
          <w:b w:val="0"/>
          <w:color w:val="333333"/>
          <w:sz w:val="24"/>
        </w:rPr>
        <w:t>يمثل السوق الموريتاني، بتركيبته السكانية الشابة وتحوله الرقمي المتسارع، فرصة حقيقية وغير مسبوقة لإطلاق منصة بث رقمي ناجحة. النجاح هنا لا يكمن في محاولة منافسة Netflix في إنتاج محتوى عالمي ضخم، بل في استراتيجية معاكسة تماماً: التركيز العميق على تلبية الاحتياجات المحلية التي يتجاهلها العمالقة، وتقديم محتوى موريتاني أصيل يعكس ثقافة المجتمع وهويته.</w:t>
      </w:r>
    </w:p>
    <w:p>
      <w:pPr>
        <w:spacing w:after="0" w:before="192"/>
      </w:pPr>
      <w:r>
        <w:rPr>
          <w:rFonts w:ascii="Source Han Sans SC" w:hAnsi="Source Han Sans SC" w:eastAsia="Source Han Sans SC" w:cs="Source Han Sans SC"/>
          <w:b w:val="0"/>
          <w:color w:val="333333"/>
          <w:sz w:val="24"/>
        </w:rPr>
        <w:t>إن الفكرة المحورية التي يقدمها هذا البحث، والمتمثلة في تحويل المنصة الموريتانية إلى "بوابة دفع" للمنصات العالمية، هي نموذج عمل مبتكر يمكن أن يغير قواعد اللعبة. هذا النموذج لا يحل فقط مشكلة الدفع للمستهلك الموريتاني، بل يخلق مصدر إيرادات إضافي ومستدام للمنصة، ويجعلها شريكاً استراتيجياً لا غنى عنه للاعبين الكبار، مما يضمن لها مكاناً محورياً في النظام البيئي الرقمي للمنطقة بأكملها.</w:t>
      </w:r>
    </w:p>
    <w:p>
      <w:pPr>
        <w:pStyle w:val="Heading3"/>
        <w:spacing w:lineRule="exact" w:line="292" w:after="0" w:before="264"/>
      </w:pPr>
      <w:r>
        <w:rPr>
          <w:rFonts w:ascii="Microsoft YaHei" w:hAnsi="Microsoft YaHei" w:eastAsia="Microsoft YaHei" w:cs="Microsoft YaHei"/>
          <w:i w:val="0"/>
          <w:color w:val="333333"/>
          <w:sz w:val="26"/>
        </w:rPr>
        <w:t>توصيات استراتيجية:</w:t>
      </w:r>
    </w:p>
    <w:p>
      <w:pPr>
        <w:spacing w:line="240" w:lineRule="auto" w:after="20" w:before="0"/>
      </w:pPr>
      <w:r>
        <w:rPr>
          <w:rFonts w:ascii="Microsoft YaHei" w:hAnsi="Microsoft YaHei" w:eastAsia="Microsoft YaHei" w:cs="Microsoft YaHei"/>
          <w:b/>
          <w:color w:val="333333"/>
          <w:sz w:val="24"/>
        </w:rPr>
        <w:t xml:space="preserve">1. </w:t>
      </w:r>
      <w:r>
        <w:rPr>
          <w:rFonts w:ascii="Source Han Sans SC" w:hAnsi="Source Han Sans SC" w:eastAsia="Source Han Sans SC" w:cs="Source Han Sans SC"/>
          <w:b w:val="0"/>
          <w:color w:val="333333"/>
          <w:sz w:val="24"/>
        </w:rPr>
        <w:t>البدء صغيرًا والتركيز على المحتوى النوعي:</w:t>
      </w:r>
      <w:r>
        <w:t xml:space="preserve"> </w:t>
      </w:r>
      <w:r>
        <w:rPr>
          <w:rFonts w:ascii="Source Han Sans SC" w:hAnsi="Source Han Sans SC" w:eastAsia="Source Han Sans SC" w:cs="Source Han Sans SC"/>
          <w:color w:val="333333"/>
          <w:sz w:val="24"/>
        </w:rPr>
        <w:t xml:space="preserve"> بدلاً من محاولة بناء مكتبة ضخمة من البداية، يجب التركيز على إنتاج أو ترخيص عدد محدود من الأعمال عالية الجودة التي تحدث ضجة وتجذب الانتباه. عمل واحد ناجح أفضل من عشرة أعمال متوسطة.</w:t>
      </w:r>
    </w:p>
    <w:p>
      <w:pPr>
        <w:spacing w:line="240" w:lineRule="auto" w:after="20" w:before="0"/>
      </w:pPr>
      <w:r>
        <w:rPr>
          <w:rFonts w:ascii="Microsoft YaHei" w:hAnsi="Microsoft YaHei" w:eastAsia="Microsoft YaHei" w:cs="Microsoft YaHei"/>
          <w:b/>
          <w:color w:val="333333"/>
          <w:sz w:val="24"/>
        </w:rPr>
        <w:t xml:space="preserve">2. </w:t>
      </w:r>
      <w:r>
        <w:rPr>
          <w:rFonts w:ascii="Source Han Sans SC" w:hAnsi="Source Han Sans SC" w:eastAsia="Source Han Sans SC" w:cs="Source Han Sans SC"/>
          <w:b w:val="0"/>
          <w:color w:val="333333"/>
          <w:sz w:val="24"/>
        </w:rPr>
        <w:t>بناء منظومة شراكات محلية قوية:</w:t>
      </w:r>
      <w:r>
        <w:t xml:space="preserve"> </w:t>
      </w:r>
      <w:r>
        <w:rPr>
          <w:rFonts w:ascii="Source Han Sans SC" w:hAnsi="Source Han Sans SC" w:eastAsia="Source Han Sans SC" w:cs="Source Han Sans SC"/>
          <w:color w:val="333333"/>
          <w:sz w:val="24"/>
        </w:rPr>
        <w:t xml:space="preserve"> النجاح يعتمد على التعاون. يجب بناء علاقات متينة مع شركات الإنتاج المحلية، الفنانين، المخرجين، شركات الاتصالات (لتقديم عروض وباقات مشتركة)، ومزودي خدمات الدفع الرقمي (لتسهيل التكامل).</w:t>
      </w:r>
    </w:p>
    <w:p>
      <w:pPr>
        <w:spacing w:line="240" w:lineRule="auto" w:after="20" w:before="0"/>
      </w:pPr>
      <w:r>
        <w:rPr>
          <w:rFonts w:ascii="Microsoft YaHei" w:hAnsi="Microsoft YaHei" w:eastAsia="Microsoft YaHei" w:cs="Microsoft YaHei"/>
          <w:b/>
          <w:color w:val="333333"/>
          <w:sz w:val="24"/>
        </w:rPr>
        <w:t xml:space="preserve">3. </w:t>
      </w:r>
      <w:r>
        <w:rPr>
          <w:rFonts w:ascii="Source Han Sans SC" w:hAnsi="Source Han Sans SC" w:eastAsia="Source Han Sans SC" w:cs="Source Han Sans SC"/>
          <w:b w:val="0"/>
          <w:color w:val="333333"/>
          <w:sz w:val="24"/>
        </w:rPr>
        <w:t>الاستثمار في تجربة المستخدم (UI/UX):</w:t>
      </w:r>
      <w:r>
        <w:t xml:space="preserve"> </w:t>
      </w:r>
      <w:r>
        <w:rPr>
          <w:rFonts w:ascii="Source Han Sans SC" w:hAnsi="Source Han Sans SC" w:eastAsia="Source Han Sans SC" w:cs="Source Han Sans SC"/>
          <w:color w:val="333333"/>
          <w:sz w:val="24"/>
        </w:rPr>
        <w:t xml:space="preserve"> يجب أن يكون تصميم التطبيق والموقع بسيطاً، سريعاً، وسهل الاستخدام، خاصة على شاشات الهواتف المحمولة. يجب أن يدعم اللغات واللهجات المحلية، وأن تكون عملية البحث عن المحتوى والاشتراك سلسة للغاية.</w:t>
      </w:r>
    </w:p>
    <w:p>
      <w:pPr>
        <w:spacing w:line="240" w:lineRule="auto" w:after="20" w:before="0"/>
      </w:pPr>
      <w:r>
        <w:rPr>
          <w:rFonts w:ascii="Microsoft YaHei" w:hAnsi="Microsoft YaHei" w:eastAsia="Microsoft YaHei" w:cs="Microsoft YaHei"/>
          <w:b/>
          <w:color w:val="333333"/>
          <w:sz w:val="24"/>
        </w:rPr>
        <w:t xml:space="preserve">4. </w:t>
      </w:r>
      <w:r>
        <w:rPr>
          <w:rFonts w:ascii="Source Han Sans SC" w:hAnsi="Source Han Sans SC" w:eastAsia="Source Han Sans SC" w:cs="Source Han Sans SC"/>
          <w:b w:val="0"/>
          <w:color w:val="333333"/>
          <w:sz w:val="24"/>
        </w:rPr>
        <w:t>تأسيس إطار قانوني واضح منذ اليوم الأول:</w:t>
      </w:r>
      <w:r>
        <w:t xml:space="preserve"> </w:t>
      </w:r>
      <w:r>
        <w:rPr>
          <w:rFonts w:ascii="Source Han Sans SC" w:hAnsi="Source Han Sans SC" w:eastAsia="Source Han Sans SC" w:cs="Source Han Sans SC"/>
          <w:color w:val="333333"/>
          <w:sz w:val="24"/>
        </w:rPr>
        <w:t xml:space="preserve"> يجب الاستعانة بخبراء قانونيين لصياغة عقود واضحة وشفافة مع المبدعين وأصحاب المحتوى، تضمن حقوق جميع الأطراف وتتوافق مع قانون الملكية الفكرية الموريتاني. هذا يبني الثقة ويمنع النزاعات المستقبلية.</w:t>
      </w:r>
    </w:p>
    <w:p>
      <w:pPr>
        <w:spacing w:after="0" w:before="192"/>
      </w:pPr>
      <w:r>
        <w:rPr>
          <w:rFonts w:ascii="Source Han Sans SC" w:hAnsi="Source Han Sans SC" w:eastAsia="Source Han Sans SC" w:cs="Source Han Sans SC"/>
          <w:b w:val="0"/>
          <w:color w:val="333333"/>
          <w:sz w:val="24"/>
        </w:rPr>
        <w:t>نظرة مستقبلية:</w:t>
      </w:r>
      <w:r>
        <w:t xml:space="preserve"> </w:t>
      </w:r>
      <w:r>
        <w:rPr>
          <w:rFonts w:ascii="Source Han Sans SC" w:hAnsi="Source Han Sans SC" w:eastAsia="Source Han Sans SC" w:cs="Source Han Sans SC"/>
          <w:b w:val="0"/>
          <w:color w:val="333333"/>
          <w:sz w:val="24"/>
        </w:rPr>
        <w:t xml:space="preserve"> موريتانيا ليست مجرد سوق منعزل، بل هي جزء لا يتجزأ من منطقة الساحل وغرب أفريقيا. المنصة التي تنجح في فك شفرة السوق الموريتاني، وتجمع بين المحتوى المحلي الأصيل ونموذج الدفع المبتكر، ستكون في وضع مثالي لتكرار نجاحها في دول مجاورة تواجه تحديات وفرصاً مماثلة، مثل مالي والنيجر والسنغال. إنها ليست مجرد فرصة لإنشاء شركة إعلامية، بل هي فرصة لبناء جسر رقمي يربط الثقافة الموريتانية بالعالم، ويضع البلاد على خريطة الابتكار الرقمي في أفريقيا.</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ource Han Sans SC" w:hAnsi="Source Han Sans SC"/>
      <w:sz w:val="1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ource Han Sans SC" w:hAnsi="Source Han Sans S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ource Han Sans SC" w:hAnsi="Source Han Sans S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ource Han Sans SC" w:hAnsi="Source Han Sans SC"/>
      <w:b/>
      <w:bCs/>
      <w:color w:val="4F81BD" w:themeColor="accent1"/>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Source Han Sans SC" w:hAnsi="Source Han Sans SC"/>
      <w:b/>
      <w:bCs/>
      <w:i/>
      <w:iCs/>
      <w:color w:val="4F81BD" w:themeColor="accent1"/>
      <w:sz w:val="17"/>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Source Han Sans SC" w:hAnsi="Source Han Sans SC"/>
      <w:color w:val="243F60" w:themeColor="accent1" w:themeShade="7F"/>
      <w:sz w:val="16"/>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Source Han Sans SC" w:hAnsi="Source Han Sans SC"/>
      <w:i/>
      <w:iCs/>
      <w:color w:val="243F60" w:themeColor="accent1" w:themeShade="7F"/>
      <w:sz w:val="15"/>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Source Han Sans SC" w:hAnsi="Source Han Sans SC"/>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Source Han Sans SC" w:hAnsi="Source Han Sans SC"/>
      <w:sz w:val="1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Source Han Sans SC" w:hAnsi="Source Han Sans SC"/>
      <w:sz w:val="1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Relationships xmlns="http://schemas.openxmlformats.org/package/2006/relationships"><Relationship Id="rId3" Type="http://schemas.openxmlformats.org/officeDocument/2006/relationships/styles" Target="styles.xml" /><Relationship Id="rId4" Type="http://schemas.microsoft.com/office/2007/relationships/stylesWithEffects" Target="stylesWithEffects.xml" /><Relationship Id="rId5" Type="http://schemas.openxmlformats.org/officeDocument/2006/relationships/settings" Target="settings.xml" /><Relationship Id="rId6" Type="http://schemas.openxmlformats.org/officeDocument/2006/relationships/webSettings" Target="webSettings.xml" /><Relationship Id="rId7" Type="http://schemas.openxmlformats.org/officeDocument/2006/relationships/fontTable" Target="fontTable.xml" /><Relationship Id="rId8" Type="http://schemas.openxmlformats.org/officeDocument/2006/relationships/theme" Target="theme/theme1.xml" /><Relationship Id="rId1" Type="http://schemas.openxmlformats.org/officeDocument/2006/relationships/customXml" Target="../customXml/item1.xml" /><Relationship Id="rId2" Type="http://schemas.openxmlformats.org/officeDocument/2006/relationships/numbering" Target="numbering.xml" /><Relationship Id="rId9" Type="http://schemas.openxmlformats.org/officeDocument/2006/relationships/hyperlink" Target="https://www.businessofapps.com/data/netflix-statistics/" TargetMode="External" /><Relationship Id="rId10" Type="http://schemas.openxmlformats.org/officeDocument/2006/relationships/hyperlink" Target="https://flixpatrol.com/streaming-services/subscribers/" TargetMode="External" /><Relationship Id="rId11" Type="http://schemas.openxmlformats.org/officeDocument/2006/relationships/hyperlink" Target="https://evoca.tv/streaming-service-market-share/" TargetMode="External" /><Relationship Id="rId12" Type="http://schemas.openxmlformats.org/officeDocument/2006/relationships/hyperlink" Target="https://www.linkedin.com/posts/charbel-chaaya_streamingwars-mena-mediatrends-activity-7407160370726998016-BV55" TargetMode="External" /><Relationship Id="rId13" Type="http://schemas.openxmlformats.org/officeDocument/2006/relationships/hyperlink" Target="https://variety.com/2025/tv/global/mbc-group-shahid-disney-middle-east-streamer-osn-bundle-1236611703/" TargetMode="External" /><Relationship Id="rId14" Type="http://schemas.openxmlformats.org/officeDocument/2006/relationships/hyperlink" Target="https://omdia.tech.informa.com/pr/2025/may/svod-growth-to-drive-mena-streaming-market-past-1point5-billion-dollars-in-2025" TargetMode="External" /><Relationship Id="rId15" Type="http://schemas.openxmlformats.org/officeDocument/2006/relationships/hyperlink" Target="https://www.mordorintelligence.com/industry-reports/africa-svod-market" TargetMode="External" /><Relationship Id="rId16" Type="http://schemas.openxmlformats.org/officeDocument/2006/relationships/hyperlink" Target="https://www.mediaplaynews.com/ampere-netflix-will-add-subs-in-canal-plus-sub-saharan-africa-deal/" TargetMode="External" /><Relationship Id="rId17" Type="http://schemas.openxmlformats.org/officeDocument/2006/relationships/hyperlink" Target="https://datareportal.com/reports/digital-2024-mauritania" TargetMode="External" /><Relationship Id="rId18" Type="http://schemas.openxmlformats.org/officeDocument/2006/relationships/hyperlink" Target="https://projects.worldbank.org/en/results/2024/01/18/digital-transformation-drives-development-in-afe-afw-africa" TargetMode="External" /><Relationship Id="rId19" Type="http://schemas.openxmlformats.org/officeDocument/2006/relationships/hyperlink" Target="https://alakhbar.info/?q=node/62257" TargetMode="External" /><Relationship Id="rId20" Type="http://schemas.openxmlformats.org/officeDocument/2006/relationships/hyperlink" Target="https://www.netflix.com/mr-en/" TargetMode="External" /><Relationship Id="rId21" Type="http://schemas.openxmlformats.org/officeDocument/2006/relationships/hyperlink" Target="https://www.facebook.com/chinguitel.mr/videos/%D9%84%D8%A3%D9%88%D9%84-%D9%85%D8%B1%D8%A9-%D9%81%D9%8A-%D9%85%D9%88%D8%B1%D9%8A%D8%AA%D8%A7%D9%86%D9%8A%D8%A7-%D9%88%D8%AD%D8%B5%D8%B1%D9%8A%D8%A7%D9%8B-%D8%A7%D8%B3%D8%AA%D9%85%D8%AA%D8%B9-%D8%A8%D8%A7%D8%B4%D8%AA%D8%B1%D8%A7%D9%83-3-%D8%A3%D8%B4%D9%87%D8%B1-%D8%B9%D9%84%D9%89-%D9%85%D9%86%D8%B5%D8%A9-%D8%B4%D8%A7%D9%87%D8%AF-%D8%B9%D8%A8%D8%B1-%D8%B4%D9%86%D9%82%D9%8A%D8%AA%D9%84-%D8%B1%D8%A7%D8%A6/933060151762204/" TargetMode="External" /><Relationship Id="rId22" Type="http://schemas.openxmlformats.org/officeDocument/2006/relationships/hyperlink" Target="https://www.transfi.com/blog/mauritanias-payment-rails-how-they-work---national-switch-e-banking-mobile-wallet-expansion" TargetMode="External" /><Relationship Id="rId23" Type="http://schemas.openxmlformats.org/officeDocument/2006/relationships/hyperlink" Target="https://saharamedias.net/247341/" TargetMode="External" /><Relationship Id="rId24" Type="http://schemas.openxmlformats.org/officeDocument/2006/relationships/hyperlink" Target="https://www.wipo.int/wipolex/ar/legislation/details/19361" TargetMode="External" /><Relationship Id="rId25" Type="http://schemas.openxmlformats.org/officeDocument/2006/relationships/hyperlink" Target="https://www.slideteam.net/blog/afdal-10-namadhij-likhutat-taqasum-alarbah-mae-amthilat-wanamadhij" TargetMode="External" /><Relationship Id="rId26" Type="http://schemas.openxmlformats.org/officeDocument/2006/relationships/hyperlink" Target="https://vodlix.com/ar/blog/how-to-start-a-streaming-service/" TargetMode="External" /><Relationship Id="rId27" Type="http://schemas.openxmlformats.org/officeDocument/2006/relationships/hyperlink" Target="https://www.muvi.com/blogs/the-ott-revolution-in-africa-growth-drivers-barriers-and-what-comes-next/" TargetMode="External" /><Relationship Id="rId28" Type="http://schemas.openxmlformats.org/officeDocument/2006/relationships/hyperlink" Target="https://www.ibm.com/ae-ar/think/topics/content-delivery-networks" TargetMode="External" /><Relationship Id="rId29" Type="http://schemas.openxmlformats.org/officeDocument/2006/relationships/hyperlink" Target="https://vodlix.com/ar/blog/h266-vvc-versatile-video-coding/" TargetMode="External" /><Relationship Id="rId30" Type="http://schemas.openxmlformats.org/officeDocument/2006/relationships/hyperlink" Target="https://www.vdocipher.com/blog/ar/drm-content-protection/" TargetMode="External" /><Relationship Id="rId31" Type="http://schemas.openxmlformats.org/officeDocument/2006/relationships/hyperlink" Target="https://www.harmonicinc.com/insights/blog/video-watermarking/" TargetMode="External" /><Relationship Id="rId32" Type="http://schemas.openxmlformats.org/officeDocument/2006/relationships/hyperlink" Target="https://enterprisetube.com/blog/secure-video-streaming-tips" TargetMode="External" /><Relationship Id="rId33" Type="http://schemas.openxmlformats.org/officeDocument/2006/relationships/chart" Target="charts/chart1000.xml" /><Relationship Id="rId34" Type="http://schemas.openxmlformats.org/officeDocument/2006/relationships/chart" Target="charts/chart1001.xml" /><Relationship Id="rId35" Type="http://schemas.openxmlformats.org/officeDocument/2006/relationships/chart" Target="charts/chart1002.xml" /><Relationship Id="rId36" Type="http://schemas.openxmlformats.org/officeDocument/2006/relationships/chart" Target="charts/chart1003.xml" /><Relationship Id="rId37" Type="http://schemas.openxmlformats.org/officeDocument/2006/relationships/chart" Target="charts/chart1004.xml" /><Relationship Id="rId38" Type="http://schemas.openxmlformats.org/officeDocument/2006/relationships/chart" Target="charts/chart1005.xml" /></Relationships>
</file>

<file path=word/charts/_rels/chart1000.xml.rels><?xml version="1.0" encoding="UTF-8" standalone="yes"?>
<Relationships xmlns="http://schemas.openxmlformats.org/package/2006/relationships"><Relationship Id="rId3" Type="http://schemas.microsoft.com/office/2011/relationships/chartColorStyle" Target="colors1000.xml"/><Relationship Id="rId2" Type="http://schemas.microsoft.com/office/2011/relationships/chartStyle" Target="style1000.xml"/><Relationship Id="rId1" Type="http://schemas.openxmlformats.org/officeDocument/2006/relationships/package" Target="../embeddings/Workbook1000.xlsx"/></Relationships>
</file>

<file path=word/charts/_rels/chart1001.xml.rels><?xml version="1.0" encoding="UTF-8" standalone="yes"?>
<Relationships xmlns="http://schemas.openxmlformats.org/package/2006/relationships"><Relationship Id="rId3" Type="http://schemas.microsoft.com/office/2011/relationships/chartColorStyle" Target="colors1001.xml"/><Relationship Id="rId2" Type="http://schemas.microsoft.com/office/2011/relationships/chartStyle" Target="style1001.xml"/><Relationship Id="rId1" Type="http://schemas.openxmlformats.org/officeDocument/2006/relationships/package" Target="../embeddings/Workbook1001.xlsx"/></Relationships>
</file>

<file path=word/charts/_rels/chart1002.xml.rels><?xml version="1.0" encoding="UTF-8" standalone="yes"?>
<Relationships xmlns="http://schemas.openxmlformats.org/package/2006/relationships"><Relationship Id="rId3" Type="http://schemas.microsoft.com/office/2011/relationships/chartColorStyle" Target="colors1002.xml"/><Relationship Id="rId2" Type="http://schemas.microsoft.com/office/2011/relationships/chartStyle" Target="style1002.xml"/><Relationship Id="rId1" Type="http://schemas.openxmlformats.org/officeDocument/2006/relationships/package" Target="../embeddings/Workbook1002.xlsx"/></Relationships>
</file>

<file path=word/charts/_rels/chart1003.xml.rels><?xml version="1.0" encoding="UTF-8" standalone="yes"?>
<Relationships xmlns="http://schemas.openxmlformats.org/package/2006/relationships"><Relationship Id="rId3" Type="http://schemas.microsoft.com/office/2011/relationships/chartColorStyle" Target="colors1003.xml"/><Relationship Id="rId2" Type="http://schemas.microsoft.com/office/2011/relationships/chartStyle" Target="style1003.xml"/><Relationship Id="rId1" Type="http://schemas.openxmlformats.org/officeDocument/2006/relationships/package" Target="../embeddings/Workbook1003.xlsx"/></Relationships>
</file>

<file path=word/charts/_rels/chart1004.xml.rels><?xml version="1.0" encoding="UTF-8" standalone="yes"?>
<Relationships xmlns="http://schemas.openxmlformats.org/package/2006/relationships"><Relationship Id="rId3" Type="http://schemas.microsoft.com/office/2011/relationships/chartColorStyle" Target="colors1004.xml"/><Relationship Id="rId2" Type="http://schemas.microsoft.com/office/2011/relationships/chartStyle" Target="style1004.xml"/><Relationship Id="rId1" Type="http://schemas.openxmlformats.org/officeDocument/2006/relationships/package" Target="../embeddings/Workbook1004.xlsx"/></Relationships>
</file>

<file path=word/charts/_rels/chart1005.xml.rels><?xml version="1.0" encoding="UTF-8" standalone="yes"?>
<Relationships xmlns="http://schemas.openxmlformats.org/package/2006/relationships"><Relationship Id="rId3" Type="http://schemas.microsoft.com/office/2011/relationships/chartColorStyle" Target="colors1005.xml"/><Relationship Id="rId2" Type="http://schemas.microsoft.com/office/2011/relationships/chartStyle" Target="style1005.xml"/><Relationship Id="rId1" Type="http://schemas.openxmlformats.org/officeDocument/2006/relationships/package" Target="../embeddings/Workbook1005.xlsx"/></Relationships>
</file>

<file path=word/charts/chart1000.xml><?xml version="1.0" encoding="utf-8"?>
<c:chartSpace xmlns:c="http://schemas.openxmlformats.org/drawingml/2006/chart" xmlns:a="http://schemas.openxmlformats.org/drawingml/2006/main" xmlns:r="http://schemas.openxmlformats.org/officeDocument/2006/relationships">
  <c:date1904 val="0"/>
  <c:lang val="en-US"/>
  <c:roundedCorners val="0"/>
  <c:style val="2"/>
  <c:chart>
    <c:title>
      <c:tx>
        <c:rich>
          <a:bodyPr/>
          <a:lstStyle/>
          <a:p>
            <a:pPr>
              <a:defRPr lang="en-US" sz="1400" b="1"/>
            </a:pPr>
            <a:r>
              <a:rPr lang="en-US" sz="1400" b="1"/>
              <a:t>الحصص السوقية لمنصات البث في الولايات المتحدة (2025)</a:t>
            </a:r>
          </a:p>
          <a:p>
            <a:pPr>
              <a:defRPr lang="en-US" sz="1000" b="0" i="1"/>
            </a:pPr>
            <a:r>
              <a:rPr lang="en-US" sz="1000" b="0" i="1"/>
              <a:t>منافسة شديدة بين أمازون ونتفليكس</a:t>
            </a:r>
          </a:p>
        </c:rich>
      </c:tx>
      <c:layout/>
      <c:overlay val="0"/>
      <c:spPr>
        <a:noFill/>
        <a:ln>
          <a:noFill/>
        </a:ln>
        <a:effectLst/>
      </c:spPr>
    </c:title>
    <c:autoTitleDeleted val="0"/>
    <c:plotArea>
      <c:layout/>
      <c:pieChart>
        <c:varyColors val="1"/>
        <c:ser>
          <c:idx val="0"/>
          <c:order val="0"/>
          <c:tx>
            <c:strRef>
              <c:f>ChartData!$B$1</c:f>
              <c:strCache>
                <c:ptCount val="1"/>
                <c:pt idx="0">
                  <c:v>حصة السوق</c:v>
                </c:pt>
              </c:strCache>
            </c:strRef>
          </c:tx>
          <c:spPr/>
          <c:dLbls>
            <c:showLegendKey val="0"/>
            <c:showVal val="0"/>
            <c:showCatName val="1"/>
            <c:showSerName val="0"/>
            <c:showPercent val="1"/>
            <c:showBubbleSize val="0"/>
            <c:separator>
</c:separator>
          </c:dLbls>
          <c:cat>
            <c:strRef>
              <c:f>ChartData!$A$2:$A$10</c:f>
              <c:strCache>
                <c:ptCount val="9"/>
                <c:pt idx="0">
                  <c:v>Amazon Prime Video</c:v>
                </c:pt>
                <c:pt idx="1">
                  <c:v>Netflix</c:v>
                </c:pt>
                <c:pt idx="2">
                  <c:v>Max</c:v>
                </c:pt>
                <c:pt idx="3">
                  <c:v>Disney+</c:v>
                </c:pt>
                <c:pt idx="4">
                  <c:v>Hulu</c:v>
                </c:pt>
                <c:pt idx="5">
                  <c:v>Paramount+</c:v>
                </c:pt>
                <c:pt idx="6">
                  <c:v>Apple TV+</c:v>
                </c:pt>
                <c:pt idx="7">
                  <c:v>Peacock</c:v>
                </c:pt>
                <c:pt idx="8">
                  <c:v>أخرى</c:v>
                </c:pt>
              </c:strCache>
            </c:strRef>
          </c:cat>
          <c:val>
            <c:numRef>
              <c:f>ChartData!$B$2:$B$10</c:f>
              <c:numCache>
                <c:formatCode>General</c:formatCode>
                <c:ptCount val="9"/>
                <c:pt idx="0">
                  <c:v>22</c:v>
                </c:pt>
                <c:pt idx="1">
                  <c:v>21</c:v>
                </c:pt>
                <c:pt idx="2">
                  <c:v>13</c:v>
                </c:pt>
                <c:pt idx="3">
                  <c:v>12</c:v>
                </c:pt>
                <c:pt idx="4">
                  <c:v>11</c:v>
                </c:pt>
                <c:pt idx="5">
                  <c:v>9</c:v>
                </c:pt>
                <c:pt idx="6">
                  <c:v>7</c:v>
                </c:pt>
                <c:pt idx="7">
                  <c:v>1</c:v>
                </c:pt>
                <c:pt idx="8">
                  <c:v>4</c:v>
                </c:pt>
              </c:numCache>
            </c:numRef>
          </c:val>
        </c:ser>
        <c:dLbls>
          <c:showLegendKey val="0"/>
          <c:showVal val="0"/>
          <c:showCatName val="1"/>
          <c:showSerName val="0"/>
          <c:showPercent val="1"/>
          <c:showBubbleSize val="0"/>
          <c:separator>
</c:separator>
        </c:dLbls>
        <c:firstSliceAng val="0"/>
      </c:pieChart>
      <c:spPr>
        <a:noFill/>
        <a:ln>
          <a:noFill/>
        </a:ln>
        <a:effectLst/>
      </c:spPr>
    </c:plotArea>
    <c:legend>
      <c:legendPos val="r"/>
      <c:layout/>
      <c:overlay val="0"/>
      <c:spPr>
        <a:noFill/>
        <a:ln>
          <a:noFill/>
        </a:ln>
        <a:effectLst/>
      </c:spPr>
      <c:txPr>
        <a:bodyPr rot="0" spcFirstLastPara="0" vertOverflow="ellipsis" vert="horz" wrap="square" anchor="ctr" anchorCtr="1"/>
        <a:lstStyle/>
        <a:p>
          <a:pPr>
            <a:defRPr lang="en-US"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en-US"/>
      </a:pPr>
    </a:p>
  </c:txPr>
  <c:externalData r:id="rId1">
    <c:autoUpdate val="0"/>
  </c:externalData>
</c:chartSpace>
</file>

<file path=word/charts/chart1001.xml><?xml version="1.0" encoding="utf-8"?>
<c:chartSpace xmlns:c="http://schemas.openxmlformats.org/drawingml/2006/chart" xmlns:a="http://schemas.openxmlformats.org/drawingml/2006/main" xmlns:r="http://schemas.openxmlformats.org/officeDocument/2006/relationships">
  <c:date1904 val="0"/>
  <c:lang val="en-US"/>
  <c:roundedCorners val="0"/>
  <c:style val="2"/>
  <c:chart>
    <c:title>
      <c:tx>
        <c:rich>
          <a:bodyPr/>
          <a:lstStyle/>
          <a:p>
            <a:pPr>
              <a:defRPr lang="en-US" sz="1200" b="1"/>
            </a:pPr>
            <a:r>
              <a:rPr lang="en-US" sz="1200" b="1"/>
              <a:t>أبرز مشتركي SVOD في منطقة MENA</a:t>
            </a:r>
          </a:p>
          <a:p>
            <a:pPr>
              <a:defRPr lang="en-US" sz="1000" b="0" i="1"/>
            </a:pPr>
            <a:r>
              <a:rPr lang="en-US" sz="1000" b="0" i="1"/>
              <a:t>ديسمبر 2024 (بالمليون)</a:t>
            </a:r>
          </a:p>
        </c:rich>
      </c:tx>
      <c:layout/>
      <c:overlay val="0"/>
      <c:spPr>
        <a:noFill/>
        <a:ln>
          <a:noFill/>
        </a:ln>
        <a:effectLst/>
      </c:spPr>
    </c:title>
    <c:autoTitleDeleted val="0"/>
    <c:plotArea>
      <c:layout/>
      <c:barChart>
        <c:barDir val="bar"/>
        <c:grouping val="clustered"/>
        <c:varyColors val="1"/>
        <c:ser>
          <c:idx val="0"/>
          <c:order val="0"/>
          <c:tx>
            <c:strRef>
              <c:f>ChartData!$B$1</c:f>
              <c:strCache>
                <c:ptCount val="1"/>
                <c:pt idx="0">
                  <c:v>المشتركون (مليون)</c:v>
                </c:pt>
              </c:strCache>
            </c:strRef>
          </c:tx>
          <c:spPr/>
          <c:dLbls>
            <c:showLegendKey val="0"/>
            <c:showVal val="1"/>
            <c:showCatName val="0"/>
            <c:showSerName val="0"/>
            <c:showPercent val="0"/>
            <c:showBubbleSize val="0"/>
            <c:showLeaderLines val="1"/>
            <c:numFmt formatCode="General" sourceLinked="0"/>
          </c:dLbls>
          <c:cat>
            <c:strRef>
              <c:f>ChartData!$A$2:$A$5</c:f>
              <c:strCache>
                <c:ptCount val="4"/>
                <c:pt idx="0">
                  <c:v>StarzPlay</c:v>
                </c:pt>
                <c:pt idx="1">
                  <c:v>Netflix</c:v>
                </c:pt>
                <c:pt idx="2">
                  <c:v>YouTube Premium</c:v>
                </c:pt>
                <c:pt idx="3">
                  <c:v>Shahid</c:v>
                </c:pt>
              </c:strCache>
            </c:strRef>
          </c:cat>
          <c:val>
            <c:numRef>
              <c:f>ChartData!$B$2:$B$5</c:f>
              <c:numCache>
                <c:formatCode>General</c:formatCode>
                <c:ptCount val="4"/>
                <c:pt idx="0">
                  <c:v>2.3</c:v>
                </c:pt>
                <c:pt idx="1">
                  <c:v>3</c:v>
                </c:pt>
                <c:pt idx="2">
                  <c:v>3.7</c:v>
                </c:pt>
                <c:pt idx="3">
                  <c:v>4.4</c:v>
                </c:pt>
              </c:numCache>
            </c:numRef>
          </c:val>
        </c:ser>
        <c:gapWidth val="150"/>
        <c:axId val="100"/>
        <c:axId val="101"/>
      </c:barChart>
      <c:catAx>
        <c:axId val="100"/>
        <c:scaling>
          <c:orientation val="minMax"/>
        </c:scaling>
        <c:delete val="0"/>
        <c:axPos val="b"/>
        <c:majorTickMark val="out"/>
        <c:minorTickMark val="none"/>
        <c:tickLblPos val="nextTo"/>
        <c:spPr>
          <a:noFill/>
          <a:ln>
            <a:noFill/>
          </a:ln>
          <a:effectLst/>
        </c:spPr>
        <c:txPr>
          <a:bodyPr rot="0" spcFirstLastPara="0" vertOverflow="ellipsis" vert="horz" wrap="square" anchor="ctr" anchorCtr="1"/>
          <a:lstStyle/>
          <a:p>
            <a:pPr>
              <a:defRPr lang="en-US" sz="700" b="0" i="0" u="none" strike="noStrike" kern="1200" baseline="0">
                <a:solidFill>
                  <a:schemeClr val="tx1">
                    <a:lumMod val="65000"/>
                    <a:lumOff val="35000"/>
                  </a:schemeClr>
                </a:solidFill>
                <a:latin typeface="+mn-lt"/>
                <a:ea typeface="+mn-ea"/>
                <a:cs typeface="+mn-cs"/>
              </a:defRPr>
            </a:pPr>
          </a:p>
        </c:txPr>
        <c:crossAx val="101"/>
        <c:crosses val="autoZero"/>
        <c:auto val="1"/>
        <c:lblAlgn val="ctr"/>
        <c:lblOffset val="100"/>
        <c:noMultiLvlLbl val="0"/>
      </c:catAx>
      <c:valAx>
        <c:axId val="101"/>
        <c:scaling>
          <c:orientation val="minMax"/>
        </c:scaling>
        <c:delete val="0"/>
        <c:axPos val="l"/>
        <c:majorGridlines>
          <c:spPr>
            <a:ln w="9525" cap="flat" cmpd="sng" algn="ctr">
              <a:solidFill>
                <a:schemeClr val="tx1">
                  <a:lumMod val="15000"/>
                  <a:lumOff val="85000"/>
                </a:schemeClr>
              </a:solidFill>
              <a:prstDash val="solid"/>
              <a:round/>
            </a:ln>
            <a:effectLst/>
          </c:spPr>
        </c:majorGridlines>
        <c:numFmt formatCode="General" sourceLinked="1"/>
        <c:majorTickMark val="out"/>
        <c:minorTickMark val="none"/>
        <c:tickLblPos val="nextTo"/>
        <c:spPr>
          <a:noFill/>
          <a:ln w="9525" cap="flat" cmpd="sng" algn="ctr">
            <a:noFill/>
            <a:prstDash val="solid"/>
            <a:round/>
          </a:ln>
          <a:effectLst/>
        </c:spPr>
        <c:txPr>
          <a:bodyPr rot="0" spcFirstLastPara="0" vertOverflow="ellipsis" vert="horz" wrap="square" anchor="ctr" anchorCtr="1"/>
          <a:lstStyle/>
          <a:p>
            <a:pPr>
              <a:defRPr lang="en-US" sz="700" b="0" i="0" u="none" strike="noStrike" kern="1200" baseline="0">
                <a:solidFill>
                  <a:schemeClr val="tx1">
                    <a:lumMod val="65000"/>
                    <a:lumOff val="35000"/>
                  </a:schemeClr>
                </a:solidFill>
                <a:latin typeface="+mn-lt"/>
                <a:ea typeface="+mn-ea"/>
                <a:cs typeface="+mn-cs"/>
              </a:defRPr>
            </a:pPr>
          </a:p>
        </c:txPr>
        <c:crossAx val="100"/>
        <c:crosses val="autoZero"/>
        <c:crossBetween val="between"/>
      </c:valAx>
      <c:spPr>
        <a:noFill/>
        <a:ln>
          <a:noFill/>
        </a:ln>
        <a:effectLst/>
      </c:spPr>
    </c:plotArea>
    <c:legend>
      <c:legendPos val="r"/>
      <c:layout/>
      <c:overlay val="0"/>
      <c:spPr>
        <a:noFill/>
        <a:ln>
          <a:noFill/>
        </a:ln>
        <a:effectLst/>
      </c:spPr>
      <c:txPr>
        <a:bodyPr rot="0" spcFirstLastPara="0" vertOverflow="ellipsis" vert="horz" wrap="square" anchor="ctr" anchorCtr="1"/>
        <a:lstStyle/>
        <a:p>
          <a:pPr>
            <a:defRPr lang="en-US" sz="6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en-US"/>
      </a:pPr>
    </a:p>
  </c:txPr>
  <c:externalData r:id="rId1">
    <c:autoUpdate val="0"/>
  </c:externalData>
</c:chartSpace>
</file>

<file path=word/charts/chart1002.xml><?xml version="1.0" encoding="utf-8"?>
<c:chartSpace xmlns:c="http://schemas.openxmlformats.org/drawingml/2006/chart" xmlns:a="http://schemas.openxmlformats.org/drawingml/2006/main" xmlns:r="http://schemas.openxmlformats.org/officeDocument/2006/relationships">
  <c:date1904 val="0"/>
  <c:lang val="en-US"/>
  <c:roundedCorners val="0"/>
  <c:style val="2"/>
  <c:chart>
    <c:title>
      <c:tx>
        <c:rich>
          <a:bodyPr/>
          <a:lstStyle/>
          <a:p>
            <a:pPr>
              <a:defRPr lang="en-US" sz="1400" b="1"/>
            </a:pPr>
            <a:r>
              <a:rPr lang="en-US" sz="1400" b="1"/>
              <a:t>أهم محركات نمو سوق SVOD في أفريقيا</a:t>
            </a:r>
          </a:p>
          <a:p>
            <a:pPr>
              <a:defRPr lang="en-US" sz="1000" b="0" i="1"/>
            </a:pPr>
            <a:r>
              <a:rPr lang="en-US" sz="1000" b="0" i="1"/>
              <a:t>الأثر الإيجابي المتوقع على معدل النمو السنوي المركب (CAGR)</a:t>
            </a:r>
          </a:p>
        </c:rich>
      </c:tx>
      <c:layout/>
      <c:overlay val="0"/>
      <c:spPr>
        <a:noFill/>
        <a:ln>
          <a:noFill/>
        </a:ln>
        <a:effectLst/>
      </c:spPr>
    </c:title>
    <c:autoTitleDeleted val="0"/>
    <c:plotArea>
      <c:layout/>
      <c:barChart>
        <c:barDir val="bar"/>
        <c:grouping val="clustered"/>
        <c:varyColors val="1"/>
        <c:ser>
          <c:idx val="0"/>
          <c:order val="0"/>
          <c:tx>
            <c:strRef>
              <c:f>ChartData!$B$1</c:f>
              <c:strCache>
                <c:ptCount val="1"/>
                <c:pt idx="0">
                  <c:v>أثر النمو</c:v>
                </c:pt>
              </c:strCache>
            </c:strRef>
          </c:tx>
          <c:spPr/>
          <c:dLbls>
            <c:showLegendKey val="0"/>
            <c:showVal val="1"/>
            <c:showCatName val="0"/>
            <c:showSerName val="0"/>
            <c:showPercent val="0"/>
            <c:showBubbleSize val="0"/>
            <c:showLeaderLines val="1"/>
            <c:numFmt formatCode="General" sourceLinked="0"/>
          </c:dLbls>
          <c:cat>
            <c:strRef>
              <c:f>ChartData!$A$2:$A$4</c:f>
              <c:strCache>
                <c:ptCount val="3"/>
                <c:pt idx="0">
                  <c:v>انتشار الهواتف الذكية</c:v>
                </c:pt>
                <c:pt idx="1">
                  <c:v>حوافز المحتوى المحلي</c:v>
                </c:pt>
                <c:pt idx="2">
                  <c:v>باقات Telco-OTT</c:v>
                </c:pt>
              </c:strCache>
            </c:strRef>
          </c:cat>
          <c:val>
            <c:numRef>
              <c:f>ChartData!$B$2:$B$4</c:f>
              <c:numCache>
                <c:formatCode>General</c:formatCode>
                <c:ptCount val="3"/>
                <c:pt idx="0">
                  <c:v>2.3</c:v>
                </c:pt>
                <c:pt idx="1">
                  <c:v>1.4</c:v>
                </c:pt>
                <c:pt idx="2">
                  <c:v>1.2</c:v>
                </c:pt>
              </c:numCache>
            </c:numRef>
          </c:val>
        </c:ser>
        <c:gapWidth val="150"/>
        <c:axId val="100"/>
        <c:axId val="101"/>
      </c:barChart>
      <c:catAx>
        <c:axId val="100"/>
        <c:scaling>
          <c:orientation val="minMax"/>
        </c:scaling>
        <c:delete val="0"/>
        <c:axPos val="b"/>
        <c:majorTickMark val="out"/>
        <c:minorTickMark val="none"/>
        <c:tickLblPos val="nextTo"/>
        <c:spPr>
          <a:noFill/>
          <a:ln>
            <a:noFill/>
          </a:ln>
          <a:effectLst/>
        </c:spPr>
        <c:txPr>
          <a:bodyPr rot="0" spcFirstLastPara="0" vertOverflow="ellipsis" vert="horz" wrap="square" anchor="ctr" anchorCtr="1"/>
          <a:lstStyle/>
          <a:p>
            <a:pPr>
              <a:defRPr lang="en-US" sz="700" b="0" i="0" u="none" strike="noStrike" kern="1200" baseline="0">
                <a:solidFill>
                  <a:schemeClr val="tx1">
                    <a:lumMod val="65000"/>
                    <a:lumOff val="35000"/>
                  </a:schemeClr>
                </a:solidFill>
                <a:latin typeface="+mn-lt"/>
                <a:ea typeface="+mn-ea"/>
                <a:cs typeface="+mn-cs"/>
              </a:defRPr>
            </a:pPr>
          </a:p>
        </c:txPr>
        <c:crossAx val="101"/>
        <c:crosses val="autoZero"/>
        <c:auto val="1"/>
        <c:lblAlgn val="ctr"/>
        <c:lblOffset val="100"/>
        <c:noMultiLvlLbl val="0"/>
      </c:catAx>
      <c:valAx>
        <c:axId val="101"/>
        <c:scaling>
          <c:orientation val="minMax"/>
        </c:scaling>
        <c:delete val="0"/>
        <c:axPos val="l"/>
        <c:majorGridlines>
          <c:spPr>
            <a:ln w="9525" cap="flat" cmpd="sng" algn="ctr">
              <a:solidFill>
                <a:schemeClr val="tx1">
                  <a:lumMod val="15000"/>
                  <a:lumOff val="85000"/>
                </a:schemeClr>
              </a:solidFill>
              <a:prstDash val="solid"/>
              <a:round/>
            </a:ln>
            <a:effectLst/>
          </c:spPr>
        </c:majorGridlines>
        <c:numFmt formatCode="General" sourceLinked="1"/>
        <c:majorTickMark val="out"/>
        <c:minorTickMark val="none"/>
        <c:tickLblPos val="nextTo"/>
        <c:spPr>
          <a:noFill/>
          <a:ln w="9525" cap="flat" cmpd="sng" algn="ctr">
            <a:noFill/>
            <a:prstDash val="solid"/>
            <a:round/>
          </a:ln>
          <a:effectLst/>
        </c:spPr>
        <c:txPr>
          <a:bodyPr rot="0" spcFirstLastPara="0" vertOverflow="ellipsis" vert="horz" wrap="square" anchor="ctr" anchorCtr="1"/>
          <a:lstStyle/>
          <a:p>
            <a:pPr>
              <a:defRPr lang="en-US" sz="700" b="0" i="0" u="none" strike="noStrike" kern="1200" baseline="0">
                <a:solidFill>
                  <a:schemeClr val="tx1">
                    <a:lumMod val="65000"/>
                    <a:lumOff val="35000"/>
                  </a:schemeClr>
                </a:solidFill>
                <a:latin typeface="+mn-lt"/>
                <a:ea typeface="+mn-ea"/>
                <a:cs typeface="+mn-cs"/>
              </a:defRPr>
            </a:pPr>
          </a:p>
        </c:txPr>
        <c:crossAx val="100"/>
        <c:crosses val="autoZero"/>
        <c:crossBetween val="between"/>
      </c:valAx>
      <c:spPr>
        <a:noFill/>
        <a:ln>
          <a:noFill/>
        </a:ln>
        <a:effectLst/>
      </c:spPr>
    </c:plotArea>
    <c:legend>
      <c:legendPos val="r"/>
      <c:layout/>
      <c:overlay val="0"/>
      <c:spPr>
        <a:noFill/>
        <a:ln>
          <a:noFill/>
        </a:ln>
        <a:effectLst/>
      </c:spPr>
      <c:txPr>
        <a:bodyPr rot="0" spcFirstLastPara="0" vertOverflow="ellipsis" vert="horz" wrap="square" anchor="ctr" anchorCtr="1"/>
        <a:lstStyle/>
        <a:p>
          <a:pPr>
            <a:defRPr lang="en-US"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en-US"/>
      </a:pPr>
    </a:p>
  </c:txPr>
  <c:externalData r:id="rId1">
    <c:autoUpdate val="0"/>
  </c:externalData>
</c:chartSpace>
</file>

<file path=word/charts/chart1003.xml><?xml version="1.0" encoding="utf-8"?>
<c:chartSpace xmlns:c="http://schemas.openxmlformats.org/drawingml/2006/chart" xmlns:a="http://schemas.openxmlformats.org/drawingml/2006/main" xmlns:r="http://schemas.openxmlformats.org/officeDocument/2006/relationships">
  <c:date1904 val="0"/>
  <c:lang val="en-US"/>
  <c:roundedCorners val="0"/>
  <c:style val="2"/>
  <c:chart>
    <c:title>
      <c:tx>
        <c:rich>
          <a:bodyPr/>
          <a:lstStyle/>
          <a:p>
            <a:pPr>
              <a:defRPr lang="en-US" sz="1400" b="1"/>
            </a:pPr>
            <a:r>
              <a:rPr lang="en-US" sz="1400" b="1"/>
              <a:t>أهم معوقات نمو سوق SVOD في أفريقيا</a:t>
            </a:r>
          </a:p>
          <a:p>
            <a:pPr>
              <a:defRPr lang="en-US" sz="1000" b="0" i="1"/>
            </a:pPr>
            <a:r>
              <a:rPr lang="en-US" sz="1000" b="0" i="1"/>
              <a:t>الأثر السلبي المتوقع على معدل النمو السنوي المركب (CAGR)</a:t>
            </a:r>
          </a:p>
        </c:rich>
      </c:tx>
      <c:layout/>
      <c:overlay val="0"/>
      <c:spPr>
        <a:noFill/>
        <a:ln>
          <a:noFill/>
        </a:ln>
        <a:effectLst/>
      </c:spPr>
    </c:title>
    <c:autoTitleDeleted val="0"/>
    <c:plotArea>
      <c:layout/>
      <c:barChart>
        <c:barDir val="bar"/>
        <c:grouping val="clustered"/>
        <c:varyColors val="1"/>
        <c:ser>
          <c:idx val="0"/>
          <c:order val="0"/>
          <c:tx>
            <c:strRef>
              <c:f>ChartData!$B$1</c:f>
              <c:strCache>
                <c:ptCount val="1"/>
                <c:pt idx="0">
                  <c:v>أثر سلبي</c:v>
                </c:pt>
              </c:strCache>
            </c:strRef>
          </c:tx>
          <c:spPr/>
          <c:dLbls>
            <c:showLegendKey val="0"/>
            <c:showVal val="1"/>
            <c:showCatName val="0"/>
            <c:showSerName val="0"/>
            <c:showPercent val="0"/>
            <c:showBubbleSize val="0"/>
            <c:showLeaderLines val="1"/>
            <c:numFmt formatCode="General" sourceLinked="0"/>
          </c:dLbls>
          <c:cat>
            <c:strRef>
              <c:f>ChartData!$A$2:$A$4</c:f>
              <c:strCache>
                <c:ptCount val="3"/>
                <c:pt idx="0">
                  <c:v>ارتفاع رسوم الاشتراك</c:v>
                </c:pt>
                <c:pt idx="1">
                  <c:v>ضعف البنية التحتية</c:v>
                </c:pt>
                <c:pt idx="2">
                  <c:v>تقلب العملة</c:v>
                </c:pt>
              </c:strCache>
            </c:strRef>
          </c:cat>
          <c:val>
            <c:numRef>
              <c:f>ChartData!$B$2:$B$4</c:f>
              <c:numCache>
                <c:formatCode>General</c:formatCode>
                <c:ptCount val="3"/>
                <c:pt idx="0">
                  <c:v>-1.9</c:v>
                </c:pt>
                <c:pt idx="1">
                  <c:v>-1.3</c:v>
                </c:pt>
                <c:pt idx="2">
                  <c:v>-1.1</c:v>
                </c:pt>
              </c:numCache>
            </c:numRef>
          </c:val>
        </c:ser>
        <c:gapWidth val="150"/>
        <c:axId val="100"/>
        <c:axId val="101"/>
      </c:barChart>
      <c:catAx>
        <c:axId val="100"/>
        <c:scaling>
          <c:orientation val="minMax"/>
        </c:scaling>
        <c:delete val="0"/>
        <c:axPos val="b"/>
        <c:majorTickMark val="out"/>
        <c:minorTickMark val="none"/>
        <c:tickLblPos val="nextTo"/>
        <c:spPr>
          <a:noFill/>
          <a:ln>
            <a:noFill/>
          </a:ln>
          <a:effectLst/>
        </c:spPr>
        <c:txPr>
          <a:bodyPr rot="0" spcFirstLastPara="0" vertOverflow="ellipsis" vert="horz" wrap="square" anchor="ctr" anchorCtr="1"/>
          <a:lstStyle/>
          <a:p>
            <a:pPr>
              <a:defRPr lang="en-US" sz="700" b="0" i="0" u="none" strike="noStrike" kern="1200" baseline="0">
                <a:solidFill>
                  <a:schemeClr val="tx1">
                    <a:lumMod val="65000"/>
                    <a:lumOff val="35000"/>
                  </a:schemeClr>
                </a:solidFill>
                <a:latin typeface="+mn-lt"/>
                <a:ea typeface="+mn-ea"/>
                <a:cs typeface="+mn-cs"/>
              </a:defRPr>
            </a:pPr>
          </a:p>
        </c:txPr>
        <c:crossAx val="101"/>
        <c:crosses val="autoZero"/>
        <c:auto val="1"/>
        <c:lblAlgn val="ctr"/>
        <c:lblOffset val="100"/>
        <c:noMultiLvlLbl val="0"/>
      </c:catAx>
      <c:valAx>
        <c:axId val="101"/>
        <c:scaling>
          <c:orientation val="minMax"/>
        </c:scaling>
        <c:delete val="0"/>
        <c:axPos val="l"/>
        <c:majorGridlines>
          <c:spPr>
            <a:ln w="9525" cap="flat" cmpd="sng" algn="ctr">
              <a:solidFill>
                <a:schemeClr val="tx1">
                  <a:lumMod val="15000"/>
                  <a:lumOff val="85000"/>
                </a:schemeClr>
              </a:solidFill>
              <a:prstDash val="solid"/>
              <a:round/>
            </a:ln>
            <a:effectLst/>
          </c:spPr>
        </c:majorGridlines>
        <c:numFmt formatCode="General" sourceLinked="1"/>
        <c:majorTickMark val="out"/>
        <c:minorTickMark val="none"/>
        <c:tickLblPos val="nextTo"/>
        <c:spPr>
          <a:noFill/>
          <a:ln w="9525" cap="flat" cmpd="sng" algn="ctr">
            <a:noFill/>
            <a:prstDash val="solid"/>
            <a:round/>
          </a:ln>
          <a:effectLst/>
        </c:spPr>
        <c:txPr>
          <a:bodyPr rot="0" spcFirstLastPara="0" vertOverflow="ellipsis" vert="horz" wrap="square" anchor="ctr" anchorCtr="1"/>
          <a:lstStyle/>
          <a:p>
            <a:pPr>
              <a:defRPr lang="en-US" sz="700" b="0" i="0" u="none" strike="noStrike" kern="1200" baseline="0">
                <a:solidFill>
                  <a:schemeClr val="tx1">
                    <a:lumMod val="65000"/>
                    <a:lumOff val="35000"/>
                  </a:schemeClr>
                </a:solidFill>
                <a:latin typeface="+mn-lt"/>
                <a:ea typeface="+mn-ea"/>
                <a:cs typeface="+mn-cs"/>
              </a:defRPr>
            </a:pPr>
          </a:p>
        </c:txPr>
        <c:crossAx val="100"/>
        <c:crosses val="autoZero"/>
        <c:crossBetween val="between"/>
      </c:valAx>
      <c:spPr>
        <a:noFill/>
        <a:ln>
          <a:noFill/>
        </a:ln>
        <a:effectLst/>
      </c:spPr>
    </c:plotArea>
    <c:legend>
      <c:legendPos val="r"/>
      <c:layout/>
      <c:overlay val="0"/>
      <c:spPr>
        <a:noFill/>
        <a:ln>
          <a:noFill/>
        </a:ln>
        <a:effectLst/>
      </c:spPr>
      <c:txPr>
        <a:bodyPr rot="0" spcFirstLastPara="0" vertOverflow="ellipsis" vert="horz" wrap="square" anchor="ctr" anchorCtr="1"/>
        <a:lstStyle/>
        <a:p>
          <a:pPr>
            <a:defRPr lang="en-US"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en-US"/>
      </a:pPr>
    </a:p>
  </c:txPr>
  <c:externalData r:id="rId1">
    <c:autoUpdate val="0"/>
  </c:externalData>
</c:chartSpace>
</file>

<file path=word/charts/chart1004.xml><?xml version="1.0" encoding="utf-8"?>
<c:chartSpace xmlns:c="http://schemas.openxmlformats.org/drawingml/2006/chart" xmlns:a="http://schemas.openxmlformats.org/drawingml/2006/main" xmlns:r="http://schemas.openxmlformats.org/officeDocument/2006/relationships">
  <c:date1904 val="0"/>
  <c:lang val="en-US"/>
  <c:roundedCorners val="0"/>
  <c:style val="2"/>
  <c:chart>
    <c:title>
      <c:tx>
        <c:rich>
          <a:bodyPr/>
          <a:lstStyle/>
          <a:p>
            <a:pPr>
              <a:defRPr lang="en-US" sz="1200" b="1"/>
            </a:pPr>
            <a:r>
              <a:rPr lang="en-US" sz="1200" b="1"/>
              <a:t>استخدام الإنترنت في موريتانيا</a:t>
            </a:r>
          </a:p>
          <a:p>
            <a:pPr>
              <a:defRPr lang="en-US" sz="1000" b="0" i="1"/>
            </a:pPr>
            <a:r>
              <a:rPr lang="en-US" sz="1000" b="0" i="1"/>
              <a:t>يناير 2024</a:t>
            </a:r>
          </a:p>
        </c:rich>
      </c:tx>
      <c:layout/>
      <c:overlay val="0"/>
      <c:spPr>
        <a:noFill/>
        <a:ln>
          <a:noFill/>
        </a:ln>
        <a:effectLst/>
      </c:spPr>
    </c:title>
    <c:autoTitleDeleted val="0"/>
    <c:plotArea>
      <c:layout/>
      <c:pieChart>
        <c:varyColors val="1"/>
        <c:ser>
          <c:idx val="0"/>
          <c:order val="0"/>
          <c:tx>
            <c:strRef>
              <c:f>ChartData!$B$1</c:f>
              <c:strCache>
                <c:ptCount val="1"/>
                <c:pt idx="0">
                  <c:v>السكان</c:v>
                </c:pt>
              </c:strCache>
            </c:strRef>
          </c:tx>
          <c:spPr/>
          <c:dLbls>
            <c:showLegendKey val="0"/>
            <c:showVal val="0"/>
            <c:showCatName val="1"/>
            <c:showSerName val="0"/>
            <c:showPercent val="1"/>
            <c:showBubbleSize val="0"/>
            <c:separator>
</c:separator>
          </c:dLbls>
          <c:cat>
            <c:strRef>
              <c:f>ChartData!$A$2:$A$3</c:f>
              <c:strCache>
                <c:ptCount val="2"/>
                <c:pt idx="0">
                  <c:v>مستخدمو الإنترنت</c:v>
                </c:pt>
                <c:pt idx="1">
                  <c:v>غير متصلين بالإنترنت</c:v>
                </c:pt>
              </c:strCache>
            </c:strRef>
          </c:cat>
          <c:val>
            <c:numRef>
              <c:f>ChartData!$B$2:$B$3</c:f>
              <c:numCache>
                <c:formatCode>General</c:formatCode>
                <c:ptCount val="2"/>
                <c:pt idx="0">
                  <c:v>2.19</c:v>
                </c:pt>
                <c:pt idx="1">
                  <c:v>2.74</c:v>
                </c:pt>
              </c:numCache>
            </c:numRef>
          </c:val>
        </c:ser>
        <c:dLbls>
          <c:showLegendKey val="0"/>
          <c:showVal val="0"/>
          <c:showCatName val="1"/>
          <c:showSerName val="0"/>
          <c:showPercent val="1"/>
          <c:showBubbleSize val="0"/>
          <c:separator>
</c:separator>
        </c:dLbls>
        <c:firstSliceAng val="0"/>
      </c:pieChart>
      <c:spPr>
        <a:noFill/>
        <a:ln>
          <a:noFill/>
        </a:ln>
        <a:effectLst/>
      </c:spPr>
    </c:plotArea>
    <c:legend>
      <c:legendPos val="r"/>
      <c:layout/>
      <c:overlay val="0"/>
      <c:spPr>
        <a:noFill/>
        <a:ln>
          <a:noFill/>
        </a:ln>
        <a:effectLst/>
      </c:spPr>
      <c:txPr>
        <a:bodyPr rot="0" spcFirstLastPara="0" vertOverflow="ellipsis" vert="horz" wrap="square" anchor="ctr" anchorCtr="1"/>
        <a:lstStyle/>
        <a:p>
          <a:pPr>
            <a:defRPr lang="en-US" sz="6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en-US"/>
      </a:pPr>
    </a:p>
  </c:txPr>
  <c:externalData r:id="rId1">
    <c:autoUpdate val="0"/>
  </c:externalData>
</c:chartSpace>
</file>

<file path=word/charts/chart1005.xml><?xml version="1.0" encoding="utf-8"?>
<c:chartSpace xmlns:c="http://schemas.openxmlformats.org/drawingml/2006/chart" xmlns:a="http://schemas.openxmlformats.org/drawingml/2006/main" xmlns:r="http://schemas.openxmlformats.org/officeDocument/2006/relationships">
  <c:date1904 val="0"/>
  <c:lang val="en-US"/>
  <c:roundedCorners val="0"/>
  <c:style val="2"/>
  <c:chart>
    <c:title>
      <c:tx>
        <c:rich>
          <a:bodyPr/>
          <a:lstStyle/>
          <a:p>
            <a:pPr>
              <a:defRPr lang="en-US" sz="1400" b="1"/>
            </a:pPr>
            <a:r>
              <a:rPr lang="en-US" sz="1400" b="1"/>
              <a:t>نمو عدد مشتركي Netflix عالمياً (2018-2024)</a:t>
            </a:r>
          </a:p>
          <a:p>
            <a:pPr>
              <a:defRPr lang="en-US" sz="1000" b="0" i="1"/>
            </a:pPr>
            <a:r>
              <a:rPr lang="en-US" sz="1000" b="0" i="1"/>
              <a:t>بالمليون</a:t>
            </a:r>
          </a:p>
        </c:rich>
      </c:tx>
      <c:layout/>
      <c:overlay val="0"/>
      <c:spPr>
        <a:noFill/>
        <a:ln>
          <a:noFill/>
        </a:ln>
        <a:effectLst/>
      </c:spPr>
    </c:title>
    <c:autoTitleDeleted val="0"/>
    <c:plotArea>
      <c:layout/>
      <c:lineChart>
        <c:grouping val="standard"/>
        <c:varyColors val="0"/>
        <c:ser>
          <c:idx val="0"/>
          <c:order val="0"/>
          <c:tx>
            <c:strRef>
              <c:f>ChartData!$B$1</c:f>
              <c:strCache>
                <c:ptCount val="1"/>
                <c:pt idx="0">
                  <c:v>المشتركون</c:v>
                </c:pt>
              </c:strCache>
            </c:strRef>
          </c:tx>
          <c:spPr/>
          <c:dLbls>
            <c:showLegendKey val="0"/>
            <c:showVal val="0"/>
            <c:showCatName val="0"/>
            <c:showSerName val="0"/>
            <c:showPercent val="0"/>
            <c:showBubbleSize val="0"/>
            <c:showLeaderLines val="1"/>
            <c:numFmt formatCode="General" sourceLinked="0"/>
          </c:dLbls>
          <c:cat>
            <c:strRef>
              <c:f>ChartData!$A$2:$A$8</c:f>
              <c:strCache>
                <c:ptCount val="7"/>
                <c:pt idx="0">
                  <c:v>2018</c:v>
                </c:pt>
                <c:pt idx="1">
                  <c:v>2019</c:v>
                </c:pt>
                <c:pt idx="2">
                  <c:v>2020</c:v>
                </c:pt>
                <c:pt idx="3">
                  <c:v>2021</c:v>
                </c:pt>
                <c:pt idx="4">
                  <c:v>2022</c:v>
                </c:pt>
                <c:pt idx="5">
                  <c:v>2023</c:v>
                </c:pt>
                <c:pt idx="6">
                  <c:v>2024</c:v>
                </c:pt>
              </c:strCache>
            </c:strRef>
          </c:cat>
          <c:val>
            <c:numRef>
              <c:f>ChartData!$B$2:$B$8</c:f>
              <c:numCache>
                <c:formatCode>General</c:formatCode>
                <c:ptCount val="7"/>
                <c:pt idx="0">
                  <c:v>124.35</c:v>
                </c:pt>
                <c:pt idx="1">
                  <c:v>151.56</c:v>
                </c:pt>
                <c:pt idx="2">
                  <c:v>192.95</c:v>
                </c:pt>
                <c:pt idx="3">
                  <c:v>209</c:v>
                </c:pt>
                <c:pt idx="4">
                  <c:v>220.6</c:v>
                </c:pt>
                <c:pt idx="5">
                  <c:v>238.3</c:v>
                </c:pt>
                <c:pt idx="6">
                  <c:v>277.6</c:v>
                </c:pt>
              </c:numCache>
            </c:numRef>
          </c:val>
        </c:ser>
        <c:dLbls>
          <c:showLegendKey val="0"/>
          <c:showVal val="1"/>
          <c:showCatName val="0"/>
          <c:showSerName val="0"/>
          <c:showPercent val="0"/>
          <c:showBubbleSize val="0"/>
        </c:dLbls>
        <c:marker val="1"/>
        <c:smooth val="1"/>
        <c:axId val="100"/>
        <c:axId val="101"/>
      </c:lineChart>
      <c:catAx>
        <c:axId val="100"/>
        <c:scaling>
          <c:orientation val="minMax"/>
        </c:scaling>
        <c:delete val="0"/>
        <c:axPos val="b"/>
        <c:majorTickMark val="out"/>
        <c:minorTickMark val="none"/>
        <c:tickLblPos val="nextTo"/>
        <c:spPr>
          <a:noFill/>
          <a:ln>
            <a:noFill/>
          </a:ln>
          <a:effectLst/>
        </c:spPr>
        <c:txPr>
          <a:bodyPr rot="-5400000" spcFirstLastPara="0" vertOverflow="ellipsis" vert="horz" wrap="square" anchor="ctr" anchorCtr="1"/>
          <a:lstStyle/>
          <a:p>
            <a:pPr>
              <a:defRPr lang="en-US" sz="700" b="0" i="0" u="none" strike="noStrike" kern="1200" baseline="0">
                <a:solidFill>
                  <a:schemeClr val="tx1">
                    <a:lumMod val="65000"/>
                    <a:lumOff val="35000"/>
                  </a:schemeClr>
                </a:solidFill>
                <a:latin typeface="+mn-lt"/>
                <a:ea typeface="+mn-ea"/>
                <a:cs typeface="+mn-cs"/>
              </a:defRPr>
            </a:pPr>
          </a:p>
        </c:txPr>
        <c:crossAx val="101"/>
        <c:crosses val="autoZero"/>
        <c:auto val="1"/>
        <c:lblAlgn val="ctr"/>
        <c:lblOffset val="100"/>
        <c:noMultiLvlLbl val="0"/>
      </c:catAx>
      <c:valAx>
        <c:axId val="10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vert="horz"/>
              <a:lstStyle/>
              <a:p>
                <a:pPr>
                  <a:defRPr lang="en-US" sz="700" b="0"/>
                </a:pPr>
                <a:r>
                  <a:rPr lang="en-US" sz="700" b="0"/>
                  <a:t>عدد المشتركين (مليون)</a:t>
                </a:r>
              </a:p>
            </c:rich>
          </c:tx>
          <c:layout/>
          <c:overlay val="0"/>
        </c:title>
        <c:numFmt formatCode="General" sourceLinked="1"/>
        <c:majorTickMark val="out"/>
        <c:minorTickMark val="none"/>
        <c:tickLblPos val="nextTo"/>
        <c:spPr>
          <a:noFill/>
          <a:ln>
            <a:noFill/>
          </a:ln>
          <a:effectLst/>
        </c:spPr>
        <c:txPr>
          <a:bodyPr rot="0" spcFirstLastPara="0" vertOverflow="ellipsis" vert="horz" wrap="square" anchor="ctr" anchorCtr="1"/>
          <a:lstStyle/>
          <a:p>
            <a:pPr>
              <a:defRPr lang="en-US" sz="700" b="0" i="0" u="none" strike="noStrike" kern="1200" baseline="0">
                <a:solidFill>
                  <a:schemeClr val="tx1">
                    <a:lumMod val="65000"/>
                    <a:lumOff val="35000"/>
                  </a:schemeClr>
                </a:solidFill>
                <a:latin typeface="+mn-lt"/>
                <a:ea typeface="+mn-ea"/>
                <a:cs typeface="+mn-cs"/>
              </a:defRPr>
            </a:pPr>
          </a:p>
        </c:txPr>
        <c:crossAx val="100"/>
        <c:crosses val="autoZero"/>
        <c:crossBetween val="between"/>
      </c:valAx>
      <c:spPr>
        <a:noFill/>
        <a:ln>
          <a:noFill/>
        </a:ln>
        <a:effectLst/>
      </c:spPr>
    </c:plotArea>
    <c:legend>
      <c:legendPos val="r"/>
      <c:layout/>
      <c:overlay val="0"/>
      <c:spPr>
        <a:noFill/>
        <a:ln>
          <a:noFill/>
        </a:ln>
        <a:effectLst/>
      </c:spPr>
      <c:txPr>
        <a:bodyPr rot="0" spcFirstLastPara="0" vertOverflow="ellipsis" vert="horz" wrap="square" anchor="ctr" anchorCtr="1"/>
        <a:lstStyle/>
        <a:p>
          <a:pPr>
            <a:defRPr lang="en-US"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en-US"/>
      </a:pPr>
    </a:p>
  </c:txPr>
  <c:externalData r:id="rId1">
    <c:autoUpdate val="0"/>
  </c:externalData>
</c:chartSpace>
</file>

<file path=word/charts/colors100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0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0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0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0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0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000.xml><?xml version="1.0" encoding="utf-8"?>
<cs:chartStyle xmlns:cs="http://schemas.microsoft.com/office/drawing/2012/chartStyle" xmlns:a="http://schemas.openxmlformats.org/drawingml/2006/main" id="1008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01.xml><?xml version="1.0" encoding="utf-8"?>
<cs:chartStyle xmlns:cs="http://schemas.microsoft.com/office/drawing/2012/chartStyle" xmlns:a="http://schemas.openxmlformats.org/drawingml/2006/main" id="1008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02.xml><?xml version="1.0" encoding="utf-8"?>
<cs:chartStyle xmlns:cs="http://schemas.microsoft.com/office/drawing/2012/chartStyle" xmlns:a="http://schemas.openxmlformats.org/drawingml/2006/main" id="1008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03.xml><?xml version="1.0" encoding="utf-8"?>
<cs:chartStyle xmlns:cs="http://schemas.microsoft.com/office/drawing/2012/chartStyle" xmlns:a="http://schemas.openxmlformats.org/drawingml/2006/main" id="1008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04.xml><?xml version="1.0" encoding="utf-8"?>
<cs:chartStyle xmlns:cs="http://schemas.microsoft.com/office/drawing/2012/chartStyle" xmlns:a="http://schemas.openxmlformats.org/drawingml/2006/main" id="1008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05.xml><?xml version="1.0" encoding="utf-8"?>
<cs:chartStyle xmlns:cs="http://schemas.microsoft.com/office/drawing/2012/chartStyle" xmlns:a="http://schemas.openxmlformats.org/drawingml/2006/main" id="1008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