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sz w:val="36"/>
        </w:rPr>
      </w:pPr>
      <w:r>
        <w:rPr/>
      </w:r>
    </w:p>
    <w:p>
      <w:pPr>
        <w:pStyle w:val="Normal"/>
        <w:jc w:val="center"/>
        <w:rPr/>
      </w:pPr>
      <w:r>
        <w:rPr>
          <w:b/>
          <w:sz w:val="36"/>
        </w:rPr>
        <w:t>Roll no:24962,24966,24997</w:t>
      </w:r>
    </w:p>
    <w:p>
      <w:pPr>
        <w:pStyle w:val="Normal"/>
        <w:jc w:val="center"/>
        <w:rPr/>
      </w:pPr>
      <w:r>
        <w:rPr>
          <w:b/>
          <w:sz w:val="36"/>
        </w:rPr>
        <w:t>RESEARCH TOPIC PROPOSAL</w:t>
      </w:r>
    </w:p>
    <w:p>
      <w:pPr>
        <w:pStyle w:val="Normal"/>
        <w:jc w:val="center"/>
        <w:rPr/>
      </w:pPr>
      <w:r>
        <w:rPr>
          <w:b/>
          <w:sz w:val="30"/>
        </w:rPr>
        <w:t>LLM Evaluation — Benchmarking LLM Hallucinations by Error Typ</w:t>
      </w:r>
      <w:r>
        <w:rPr>
          <w:b/>
          <w:sz w:val="30"/>
        </w:rPr>
        <w:t>e</w:t>
      </w:r>
    </w:p>
    <w:p>
      <w:pPr>
        <w:pStyle w:val="Normal"/>
        <w:rPr/>
      </w:pPr>
      <w:r>
        <w:rPr/>
      </w:r>
    </w:p>
    <w:p>
      <w:pPr>
        <w:pStyle w:val="Heading1"/>
        <w:rPr/>
      </w:pPr>
      <w:r>
        <w:rPr/>
        <w:t>1. Selected Research Topic</w:t>
      </w:r>
    </w:p>
    <w:p>
      <w:pPr>
        <w:pStyle w:val="Normal"/>
        <w:rPr/>
      </w:pPr>
      <w:r>
        <w:rPr/>
        <w:t>Benchmarking LLM hallucinations by error type. The research will investigate which hallucination type—Knowledge Missing, Knowledge Error, Reasoning Error, or Instruction-Following Error—is most common across 3–5 accessible Large Language Models (LLMs).</w:t>
      </w:r>
    </w:p>
    <w:p>
      <w:pPr>
        <w:pStyle w:val="Heading1"/>
        <w:rPr/>
      </w:pPr>
      <w:r>
        <w:rPr/>
        <w:t>2. Base Paper</w:t>
      </w:r>
    </w:p>
    <w:p>
      <w:pPr>
        <w:pStyle w:val="Normal"/>
        <w:rPr/>
      </w:pPr>
      <w:r>
        <w:rPr/>
        <w:t>PRISM: Probing Reasoning, Instruction, and Source Memory in LLM Hallucinations (Wu et al., ACL 2026).</w:t>
      </w:r>
    </w:p>
    <w:p>
      <w:pPr>
        <w:pStyle w:val="Normal"/>
        <w:rPr/>
      </w:pPr>
      <w:r>
        <w:rPr/>
        <w:t>The base paper reformulates hallucination evaluation as a diagnostic problem. Instead of reporting only an overall hallucination score, PRISM separates failures into four dimensions and connects them to three generation stages: memory, reasoning, and instruction.</w:t>
      </w:r>
    </w:p>
    <w:p>
      <w:pPr>
        <w:pStyle w:val="Heading1"/>
        <w:rPr/>
      </w:pPr>
      <w:r>
        <w:rPr/>
        <w:t>3. Problem / Research Problems</w:t>
      </w:r>
    </w:p>
    <w:p>
      <w:pPr>
        <w:pStyle w:val="ListBullet"/>
        <w:numPr>
          <w:ilvl w:val="0"/>
          <w:numId w:val="1"/>
        </w:numPr>
        <w:rPr/>
      </w:pPr>
      <w:r>
        <w:rPr/>
        <w:t>LLMs can generate fluent and convincing answers that contain incorrect or unsupported information (hallucination).</w:t>
      </w:r>
    </w:p>
    <w:p>
      <w:pPr>
        <w:pStyle w:val="ListBullet"/>
        <w:numPr>
          <w:ilvl w:val="0"/>
          <w:numId w:val="1"/>
        </w:numPr>
        <w:rPr/>
      </w:pPr>
      <w:r>
        <w:rPr/>
        <w:t>Many existing evaluations give one overall score, so they show that a model failed but do not clearly explain why it failed.</w:t>
      </w:r>
    </w:p>
    <w:p>
      <w:pPr>
        <w:pStyle w:val="ListBullet"/>
        <w:numPr>
          <w:ilvl w:val="0"/>
          <w:numId w:val="1"/>
        </w:numPr>
        <w:rPr/>
      </w:pPr>
      <w:r>
        <w:rPr/>
        <w:t>Different failure sources are mixed together: missing knowledge, incorrect knowledge, reasoning mistakes, and instruction-following mistakes.</w:t>
      </w:r>
    </w:p>
    <w:p>
      <w:pPr>
        <w:pStyle w:val="ListBullet"/>
        <w:numPr>
          <w:ilvl w:val="0"/>
          <w:numId w:val="1"/>
        </w:numPr>
        <w:rPr/>
      </w:pPr>
      <w:r>
        <w:rPr/>
        <w:t>Comparing models only by accuracy can hide important weaknesses; a model may perform well overall but have a high rate of a particular hallucination type.</w:t>
      </w:r>
    </w:p>
    <w:p>
      <w:pPr>
        <w:pStyle w:val="ListBullet"/>
        <w:numPr>
          <w:ilvl w:val="0"/>
          <w:numId w:val="1"/>
        </w:numPr>
        <w:rPr/>
      </w:pPr>
      <w:r>
        <w:rPr/>
        <w:t>LLM outputs are open-ended, so human/LLM-assisted evaluation can be subjective unless clear annotation rules and agreement checks are used.</w:t>
      </w:r>
    </w:p>
    <w:p>
      <w:pPr>
        <w:pStyle w:val="ListBullet"/>
        <w:numPr>
          <w:ilvl w:val="0"/>
          <w:numId w:val="1"/>
        </w:numPr>
        <w:rPr/>
      </w:pPr>
      <w:r>
        <w:rPr/>
        <w:t>An accessible student-scale benchmark is needed so that several models can be compared using the same prompts, categories, and metrics.</w:t>
      </w:r>
    </w:p>
    <w:p>
      <w:pPr>
        <w:pStyle w:val="Heading1"/>
        <w:rPr/>
      </w:pPr>
      <w:r>
        <w:rPr/>
        <w:t>4. Research Question</w:t>
      </w:r>
    </w:p>
    <w:p>
      <w:pPr>
        <w:pStyle w:val="Normal"/>
        <w:rPr/>
      </w:pPr>
      <w:r>
        <w:rPr/>
        <w:t>Which hallucination/error type—Knowledge Missing (KM), Knowledge Error (KE), Reasoning Error (RE), or Instruction-Following Error (IFE)—is most frequent in 3–5 accessible LLMs, and how do the error profiles differ between models?</w:t>
      </w:r>
    </w:p>
    <w:p>
      <w:pPr>
        <w:pStyle w:val="Heading1"/>
        <w:rPr/>
      </w:pPr>
      <w:r>
        <w:rPr/>
        <w:t>5. Objectives</w:t>
      </w:r>
    </w:p>
    <w:p>
      <w:pPr>
        <w:pStyle w:val="ListNumber"/>
        <w:numPr>
          <w:ilvl w:val="0"/>
          <w:numId w:val="2"/>
        </w:numPr>
        <w:rPr/>
      </w:pPr>
      <w:r>
        <w:rPr/>
        <w:t>Create a small, controlled benchmark of approximately 150–300 questions/prompts.</w:t>
      </w:r>
    </w:p>
    <w:p>
      <w:pPr>
        <w:pStyle w:val="ListNumber"/>
        <w:numPr>
          <w:ilvl w:val="0"/>
          <w:numId w:val="2"/>
        </w:numPr>
        <w:rPr/>
      </w:pPr>
      <w:r>
        <w:rPr/>
        <w:t>Evaluate 3–5 accessible LLMs under the same experimental conditions.</w:t>
      </w:r>
    </w:p>
    <w:p>
      <w:pPr>
        <w:pStyle w:val="ListNumber"/>
        <w:numPr>
          <w:ilvl w:val="0"/>
          <w:numId w:val="2"/>
        </w:numPr>
        <w:rPr/>
      </w:pPr>
      <w:r>
        <w:rPr/>
        <w:t>Assign each failure to one of four predefined hallucination categories.</w:t>
      </w:r>
    </w:p>
    <w:p>
      <w:pPr>
        <w:pStyle w:val="ListNumber"/>
        <w:numPr>
          <w:ilvl w:val="0"/>
          <w:numId w:val="2"/>
        </w:numPr>
        <w:rPr/>
      </w:pPr>
      <w:r>
        <w:rPr/>
        <w:t>Calculate error rate for each category and compare models.</w:t>
      </w:r>
    </w:p>
    <w:p>
      <w:pPr>
        <w:pStyle w:val="ListNumber"/>
        <w:numPr>
          <w:ilvl w:val="0"/>
          <w:numId w:val="2"/>
        </w:numPr>
        <w:rPr/>
      </w:pPr>
      <w:r>
        <w:rPr/>
        <w:t>Check annotation reliability using a second annotator on a subset of examples.</w:t>
      </w:r>
    </w:p>
    <w:p>
      <w:pPr>
        <w:pStyle w:val="ListNumber"/>
        <w:numPr>
          <w:ilvl w:val="0"/>
          <w:numId w:val="2"/>
        </w:numPr>
        <w:rPr/>
      </w:pPr>
      <w:r>
        <w:rPr/>
        <w:t>Perform error analysis and identify which types of errors are most difficult for each model.</w:t>
      </w:r>
    </w:p>
    <w:p>
      <w:pPr>
        <w:pStyle w:val="Heading1"/>
        <w:rPr/>
      </w:pPr>
      <w:r>
        <w:rPr/>
        <w:t>6. Algorithms / Methods Used</w:t>
      </w:r>
    </w:p>
    <w:p>
      <w:pPr>
        <w:pStyle w:val="Normal"/>
        <w:rPr/>
      </w:pPr>
      <w:r>
        <w:rPr/>
        <w:t>Important: this project does not require training a new neural-network algorithm. The main contribution is a controlled evaluation/benchmarking algorithmic pipeline.</w:t>
      </w:r>
    </w:p>
    <w:tbl>
      <w:tblPr>
        <w:tblStyle w:val="TableGrid"/>
        <w:tblW w:w="10081" w:type="dxa"/>
        <w:jc w:val="center"/>
        <w:tblInd w:w="0" w:type="dxa"/>
        <w:tblCellMar>
          <w:top w:w="0" w:type="dxa"/>
          <w:left w:w="108" w:type="dxa"/>
          <w:bottom w:w="0" w:type="dxa"/>
          <w:right w:w="108" w:type="dxa"/>
        </w:tblCellMar>
        <w:tblLook w:firstRow="1" w:noVBand="1" w:lastRow="0" w:firstColumn="1" w:lastColumn="0" w:noHBand="0" w:val="04a0"/>
      </w:tblPr>
      <w:tblGrid>
        <w:gridCol w:w="3360"/>
        <w:gridCol w:w="3360"/>
        <w:gridCol w:w="3361"/>
      </w:tblGrid>
      <w:tr>
        <w:trPr/>
        <w:tc>
          <w:tcPr>
            <w:tcW w:w="3360" w:type="dxa"/>
            <w:tcBorders/>
            <w:shd w:fill="auto" w:val="clear"/>
            <w:vAlign w:val="center"/>
          </w:tcPr>
          <w:p>
            <w:pPr>
              <w:pStyle w:val="Normal"/>
              <w:spacing w:lineRule="auto" w:line="240" w:before="0" w:after="0"/>
              <w:rPr/>
            </w:pPr>
            <w:r>
              <w:rPr/>
              <w:t>Method / Algorithm</w:t>
            </w:r>
          </w:p>
        </w:tc>
        <w:tc>
          <w:tcPr>
            <w:tcW w:w="3360" w:type="dxa"/>
            <w:tcBorders/>
            <w:shd w:fill="auto" w:val="clear"/>
            <w:vAlign w:val="center"/>
          </w:tcPr>
          <w:p>
            <w:pPr>
              <w:pStyle w:val="Normal"/>
              <w:spacing w:lineRule="auto" w:line="240" w:before="0" w:after="0"/>
              <w:rPr/>
            </w:pPr>
            <w:r>
              <w:rPr/>
              <w:t>Purpose</w:t>
            </w:r>
          </w:p>
        </w:tc>
        <w:tc>
          <w:tcPr>
            <w:tcW w:w="3361" w:type="dxa"/>
            <w:tcBorders/>
            <w:shd w:fill="auto" w:val="clear"/>
            <w:vAlign w:val="center"/>
          </w:tcPr>
          <w:p>
            <w:pPr>
              <w:pStyle w:val="Normal"/>
              <w:spacing w:lineRule="auto" w:line="240" w:before="0" w:after="0"/>
              <w:rPr/>
            </w:pPr>
            <w:r>
              <w:rPr/>
              <w:t>How it will be used</w:t>
            </w:r>
          </w:p>
        </w:tc>
      </w:tr>
      <w:tr>
        <w:trPr/>
        <w:tc>
          <w:tcPr>
            <w:tcW w:w="3360" w:type="dxa"/>
            <w:tcBorders/>
            <w:shd w:fill="auto" w:val="clear"/>
            <w:vAlign w:val="center"/>
          </w:tcPr>
          <w:p>
            <w:pPr>
              <w:pStyle w:val="Normal"/>
              <w:spacing w:lineRule="auto" w:line="240" w:before="0" w:after="0"/>
              <w:rPr/>
            </w:pPr>
            <w:r>
              <w:rPr/>
              <w:t>Controlled prompt generation</w:t>
            </w:r>
          </w:p>
        </w:tc>
        <w:tc>
          <w:tcPr>
            <w:tcW w:w="3360" w:type="dxa"/>
            <w:tcBorders/>
            <w:shd w:fill="auto" w:val="clear"/>
            <w:vAlign w:val="center"/>
          </w:tcPr>
          <w:p>
            <w:pPr>
              <w:pStyle w:val="Normal"/>
              <w:spacing w:lineRule="auto" w:line="240" w:before="0" w:after="0"/>
              <w:rPr/>
            </w:pPr>
            <w:r>
              <w:rPr/>
              <w:t>Create comparable test cases</w:t>
            </w:r>
          </w:p>
        </w:tc>
        <w:tc>
          <w:tcPr>
            <w:tcW w:w="3361" w:type="dxa"/>
            <w:tcBorders/>
            <w:shd w:fill="auto" w:val="clear"/>
            <w:vAlign w:val="center"/>
          </w:tcPr>
          <w:p>
            <w:pPr>
              <w:pStyle w:val="Normal"/>
              <w:spacing w:lineRule="auto" w:line="240" w:before="0" w:after="0"/>
              <w:rPr/>
            </w:pPr>
            <w:r>
              <w:rPr/>
              <w:t>Prepare questions for KM, KE, RE and IFE categories.</w:t>
            </w:r>
          </w:p>
        </w:tc>
      </w:tr>
      <w:tr>
        <w:trPr/>
        <w:tc>
          <w:tcPr>
            <w:tcW w:w="3360" w:type="dxa"/>
            <w:tcBorders/>
            <w:shd w:fill="auto" w:val="clear"/>
            <w:vAlign w:val="center"/>
          </w:tcPr>
          <w:p>
            <w:pPr>
              <w:pStyle w:val="Normal"/>
              <w:spacing w:lineRule="auto" w:line="240" w:before="0" w:after="0"/>
              <w:rPr/>
            </w:pPr>
            <w:r>
              <w:rPr/>
              <w:t>PRISM-style error taxonomy</w:t>
            </w:r>
          </w:p>
        </w:tc>
        <w:tc>
          <w:tcPr>
            <w:tcW w:w="3360" w:type="dxa"/>
            <w:tcBorders/>
            <w:shd w:fill="auto" w:val="clear"/>
            <w:vAlign w:val="center"/>
          </w:tcPr>
          <w:p>
            <w:pPr>
              <w:pStyle w:val="Normal"/>
              <w:spacing w:lineRule="auto" w:line="240" w:before="0" w:after="0"/>
              <w:rPr/>
            </w:pPr>
            <w:r>
              <w:rPr/>
              <w:t>Classify hallucination causes</w:t>
            </w:r>
          </w:p>
        </w:tc>
        <w:tc>
          <w:tcPr>
            <w:tcW w:w="3361" w:type="dxa"/>
            <w:tcBorders/>
            <w:shd w:fill="auto" w:val="clear"/>
            <w:vAlign w:val="center"/>
          </w:tcPr>
          <w:p>
            <w:pPr>
              <w:pStyle w:val="Normal"/>
              <w:spacing w:lineRule="auto" w:line="240" w:before="0" w:after="0"/>
              <w:rPr/>
            </w:pPr>
            <w:r>
              <w:rPr/>
              <w:t>Label each failure as KM, KE, RE or IFE.</w:t>
            </w:r>
          </w:p>
        </w:tc>
      </w:tr>
      <w:tr>
        <w:trPr/>
        <w:tc>
          <w:tcPr>
            <w:tcW w:w="3360" w:type="dxa"/>
            <w:tcBorders/>
            <w:shd w:fill="auto" w:val="clear"/>
            <w:vAlign w:val="center"/>
          </w:tcPr>
          <w:p>
            <w:pPr>
              <w:pStyle w:val="Normal"/>
              <w:spacing w:lineRule="auto" w:line="240" w:before="0" w:after="0"/>
              <w:rPr/>
            </w:pPr>
            <w:r>
              <w:rPr/>
              <w:t>Rule-based scoring</w:t>
            </w:r>
          </w:p>
        </w:tc>
        <w:tc>
          <w:tcPr>
            <w:tcW w:w="3360" w:type="dxa"/>
            <w:tcBorders/>
            <w:shd w:fill="auto" w:val="clear"/>
            <w:vAlign w:val="center"/>
          </w:tcPr>
          <w:p>
            <w:pPr>
              <w:pStyle w:val="Normal"/>
              <w:spacing w:lineRule="auto" w:line="240" w:before="0" w:after="0"/>
              <w:rPr/>
            </w:pPr>
            <w:r>
              <w:rPr/>
              <w:t>Score objective answers</w:t>
            </w:r>
          </w:p>
        </w:tc>
        <w:tc>
          <w:tcPr>
            <w:tcW w:w="3361" w:type="dxa"/>
            <w:tcBorders/>
            <w:shd w:fill="auto" w:val="clear"/>
            <w:vAlign w:val="center"/>
          </w:tcPr>
          <w:p>
            <w:pPr>
              <w:pStyle w:val="Normal"/>
              <w:spacing w:lineRule="auto" w:line="240" w:before="0" w:after="0"/>
              <w:rPr/>
            </w:pPr>
            <w:r>
              <w:rPr/>
              <w:t>Use exact/structured checks where the expected answer is known.</w:t>
            </w:r>
          </w:p>
        </w:tc>
      </w:tr>
      <w:tr>
        <w:trPr/>
        <w:tc>
          <w:tcPr>
            <w:tcW w:w="3360" w:type="dxa"/>
            <w:tcBorders/>
            <w:shd w:fill="auto" w:val="clear"/>
            <w:vAlign w:val="center"/>
          </w:tcPr>
          <w:p>
            <w:pPr>
              <w:pStyle w:val="Normal"/>
              <w:spacing w:lineRule="auto" w:line="240" w:before="0" w:after="0"/>
              <w:rPr/>
            </w:pPr>
            <w:r>
              <w:rPr/>
              <w:t>Semantic / LLM-assisted judging</w:t>
            </w:r>
          </w:p>
        </w:tc>
        <w:tc>
          <w:tcPr>
            <w:tcW w:w="3360" w:type="dxa"/>
            <w:tcBorders/>
            <w:shd w:fill="auto" w:val="clear"/>
            <w:vAlign w:val="center"/>
          </w:tcPr>
          <w:p>
            <w:pPr>
              <w:pStyle w:val="Normal"/>
              <w:spacing w:lineRule="auto" w:line="240" w:before="0" w:after="0"/>
              <w:rPr/>
            </w:pPr>
            <w:r>
              <w:rPr/>
              <w:t>Evaluate open-ended responses</w:t>
            </w:r>
          </w:p>
        </w:tc>
        <w:tc>
          <w:tcPr>
            <w:tcW w:w="3361" w:type="dxa"/>
            <w:tcBorders/>
            <w:shd w:fill="auto" w:val="clear"/>
            <w:vAlign w:val="center"/>
          </w:tcPr>
          <w:p>
            <w:pPr>
              <w:pStyle w:val="Normal"/>
              <w:spacing w:lineRule="auto" w:line="240" w:before="0" w:after="0"/>
              <w:rPr/>
            </w:pPr>
            <w:r>
              <w:rPr/>
              <w:t>Use a fixed rubric/judge prompt for cases requiring semantic comparison.</w:t>
            </w:r>
          </w:p>
        </w:tc>
      </w:tr>
      <w:tr>
        <w:trPr/>
        <w:tc>
          <w:tcPr>
            <w:tcW w:w="3360" w:type="dxa"/>
            <w:tcBorders/>
            <w:shd w:fill="auto" w:val="clear"/>
            <w:vAlign w:val="center"/>
          </w:tcPr>
          <w:p>
            <w:pPr>
              <w:pStyle w:val="Normal"/>
              <w:spacing w:lineRule="auto" w:line="240" w:before="0" w:after="0"/>
              <w:rPr/>
            </w:pPr>
            <w:r>
              <w:rPr/>
              <w:t>Error-rate aggregation</w:t>
            </w:r>
          </w:p>
        </w:tc>
        <w:tc>
          <w:tcPr>
            <w:tcW w:w="3360" w:type="dxa"/>
            <w:tcBorders/>
            <w:shd w:fill="auto" w:val="clear"/>
            <w:vAlign w:val="center"/>
          </w:tcPr>
          <w:p>
            <w:pPr>
              <w:pStyle w:val="Normal"/>
              <w:spacing w:lineRule="auto" w:line="240" w:before="0" w:after="0"/>
              <w:rPr/>
            </w:pPr>
            <w:r>
              <w:rPr/>
              <w:t>Compare models</w:t>
            </w:r>
          </w:p>
        </w:tc>
        <w:tc>
          <w:tcPr>
            <w:tcW w:w="3361" w:type="dxa"/>
            <w:tcBorders/>
            <w:shd w:fill="auto" w:val="clear"/>
            <w:vAlign w:val="center"/>
          </w:tcPr>
          <w:p>
            <w:pPr>
              <w:pStyle w:val="Normal"/>
              <w:spacing w:lineRule="auto" w:line="240" w:before="0" w:after="0"/>
              <w:rPr/>
            </w:pPr>
            <w:r>
              <w:rPr/>
              <w:t>Compute category-wise hallucination/error percentages.</w:t>
            </w:r>
          </w:p>
        </w:tc>
      </w:tr>
      <w:tr>
        <w:trPr/>
        <w:tc>
          <w:tcPr>
            <w:tcW w:w="3360" w:type="dxa"/>
            <w:tcBorders/>
            <w:shd w:fill="auto" w:val="clear"/>
            <w:vAlign w:val="center"/>
          </w:tcPr>
          <w:p>
            <w:pPr>
              <w:pStyle w:val="Normal"/>
              <w:spacing w:lineRule="auto" w:line="240" w:before="0" w:after="0"/>
              <w:rPr/>
            </w:pPr>
            <w:r>
              <w:rPr/>
              <w:t>Inter-rater agreement</w:t>
            </w:r>
          </w:p>
        </w:tc>
        <w:tc>
          <w:tcPr>
            <w:tcW w:w="3360" w:type="dxa"/>
            <w:tcBorders/>
            <w:shd w:fill="auto" w:val="clear"/>
            <w:vAlign w:val="center"/>
          </w:tcPr>
          <w:p>
            <w:pPr>
              <w:pStyle w:val="Normal"/>
              <w:spacing w:lineRule="auto" w:line="240" w:before="0" w:after="0"/>
              <w:rPr/>
            </w:pPr>
            <w:r>
              <w:rPr/>
              <w:t>Check annotation reliability</w:t>
            </w:r>
          </w:p>
        </w:tc>
        <w:tc>
          <w:tcPr>
            <w:tcW w:w="3361" w:type="dxa"/>
            <w:tcBorders/>
            <w:shd w:fill="auto" w:val="clear"/>
            <w:vAlign w:val="center"/>
          </w:tcPr>
          <w:p>
            <w:pPr>
              <w:pStyle w:val="Normal"/>
              <w:spacing w:lineRule="auto" w:line="240" w:before="0" w:after="0"/>
              <w:rPr/>
            </w:pPr>
            <w:r>
              <w:rPr/>
              <w:t>Second annotator labels a subset; calculate agreement such as Cohen's kappa.</w:t>
            </w:r>
          </w:p>
        </w:tc>
      </w:tr>
    </w:tbl>
    <w:p>
      <w:pPr>
        <w:pStyle w:val="Heading1"/>
        <w:rPr/>
      </w:pPr>
      <w:r>
        <w:rPr/>
        <w:t>7. Proposed Solution</w:t>
      </w:r>
    </w:p>
    <w:p>
      <w:pPr>
        <w:pStyle w:val="Normal"/>
        <w:rPr/>
      </w:pPr>
      <w:r>
        <w:rPr/>
        <w:t>The proposed solution is a small PRISM-inspired diagnostic benchmark. Instead of simply asking which model has the highest accuracy, the system will identify the cause of each failure. A fixed dataset and fixed evaluation procedure will be used for all models.</w:t>
      </w:r>
    </w:p>
    <w:p>
      <w:pPr>
        <w:pStyle w:val="ListNumber"/>
        <w:numPr>
          <w:ilvl w:val="0"/>
          <w:numId w:val="2"/>
        </w:numPr>
        <w:rPr/>
      </w:pPr>
      <w:r>
        <w:rPr/>
        <w:t>Prepare 150–300 controlled prompts covering the four error types.</w:t>
      </w:r>
    </w:p>
    <w:p>
      <w:pPr>
        <w:pStyle w:val="ListNumber"/>
        <w:numPr>
          <w:ilvl w:val="0"/>
          <w:numId w:val="2"/>
        </w:numPr>
        <w:rPr/>
      </w:pPr>
      <w:r>
        <w:rPr/>
        <w:t>Run the same prompts on 3–5 accessible LLMs and save all responses.</w:t>
      </w:r>
    </w:p>
    <w:p>
      <w:pPr>
        <w:pStyle w:val="ListNumber"/>
        <w:numPr>
          <w:ilvl w:val="0"/>
          <w:numId w:val="2"/>
        </w:numPr>
        <w:rPr/>
      </w:pPr>
      <w:r>
        <w:rPr/>
        <w:t>Evaluate each response against the expected answer, evidence, reasoning requirement, or instruction constraint.</w:t>
      </w:r>
    </w:p>
    <w:p>
      <w:pPr>
        <w:pStyle w:val="ListNumber"/>
        <w:numPr>
          <w:ilvl w:val="0"/>
          <w:numId w:val="2"/>
        </w:numPr>
        <w:rPr/>
      </w:pPr>
      <w:r>
        <w:rPr/>
        <w:t>Assign a failure category: KM, KE, RE, or IFE.</w:t>
      </w:r>
    </w:p>
    <w:p>
      <w:pPr>
        <w:pStyle w:val="ListNumber"/>
        <w:numPr>
          <w:ilvl w:val="0"/>
          <w:numId w:val="2"/>
        </w:numPr>
        <w:rPr/>
      </w:pPr>
      <w:r>
        <w:rPr/>
        <w:t>Calculate category-wise error rate, overall error rate, and model-wise comparison.</w:t>
      </w:r>
    </w:p>
    <w:p>
      <w:pPr>
        <w:pStyle w:val="ListNumber"/>
        <w:numPr>
          <w:ilvl w:val="0"/>
          <w:numId w:val="2"/>
        </w:numPr>
        <w:rPr/>
      </w:pPr>
      <w:r>
        <w:rPr/>
        <w:t>Manually inspect representative failures and create an error-analysis table.</w:t>
      </w:r>
    </w:p>
    <w:p>
      <w:pPr>
        <w:pStyle w:val="ListNumber"/>
        <w:numPr>
          <w:ilvl w:val="0"/>
          <w:numId w:val="2"/>
        </w:numPr>
        <w:rPr/>
      </w:pPr>
      <w:r>
        <w:rPr/>
        <w:t>Use a second annotator for a subset and report inter-rater agreement.</w:t>
      </w:r>
    </w:p>
    <w:p>
      <w:pPr>
        <w:pStyle w:val="ListNumber"/>
        <w:numPr>
          <w:ilvl w:val="0"/>
          <w:numId w:val="2"/>
        </w:numPr>
        <w:rPr/>
      </w:pPr>
      <w:r>
        <w:rPr/>
        <w:t>Identify the most frequent and most difficult hallucination types and discuss possible mitigation strategies.</w:t>
      </w:r>
    </w:p>
    <w:p>
      <w:pPr>
        <w:pStyle w:val="Heading1"/>
        <w:rPr/>
      </w:pPr>
      <w:r>
        <w:rPr/>
        <w:t>8. Evaluation Metrics</w:t>
      </w:r>
    </w:p>
    <w:tbl>
      <w:tblPr>
        <w:tblStyle w:val="TableGrid"/>
        <w:tblW w:w="10080" w:type="dxa"/>
        <w:jc w:val="center"/>
        <w:tblInd w:w="0" w:type="dxa"/>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auto" w:val="clear"/>
          </w:tcPr>
          <w:p>
            <w:pPr>
              <w:pStyle w:val="Normal"/>
              <w:spacing w:lineRule="auto" w:line="240" w:before="0" w:after="0"/>
              <w:rPr/>
            </w:pPr>
            <w:r>
              <w:rPr/>
              <w:t>Metric</w:t>
            </w:r>
          </w:p>
        </w:tc>
        <w:tc>
          <w:tcPr>
            <w:tcW w:w="5039" w:type="dxa"/>
            <w:tcBorders/>
            <w:shd w:fill="auto" w:val="clear"/>
          </w:tcPr>
          <w:p>
            <w:pPr>
              <w:pStyle w:val="Normal"/>
              <w:spacing w:lineRule="auto" w:line="240" w:before="0" w:after="0"/>
              <w:rPr/>
            </w:pPr>
            <w:r>
              <w:rPr/>
              <w:t>Purpose</w:t>
            </w:r>
          </w:p>
        </w:tc>
      </w:tr>
      <w:tr>
        <w:trPr/>
        <w:tc>
          <w:tcPr>
            <w:tcW w:w="5040" w:type="dxa"/>
            <w:tcBorders/>
            <w:shd w:fill="auto" w:val="clear"/>
          </w:tcPr>
          <w:p>
            <w:pPr>
              <w:pStyle w:val="Normal"/>
              <w:spacing w:lineRule="auto" w:line="240" w:before="0" w:after="0"/>
              <w:rPr/>
            </w:pPr>
            <w:r>
              <w:rPr/>
              <w:t>Hallucination / Error Rate</w:t>
            </w:r>
          </w:p>
        </w:tc>
        <w:tc>
          <w:tcPr>
            <w:tcW w:w="5039" w:type="dxa"/>
            <w:tcBorders/>
            <w:shd w:fill="auto" w:val="clear"/>
          </w:tcPr>
          <w:p>
            <w:pPr>
              <w:pStyle w:val="Normal"/>
              <w:spacing w:lineRule="auto" w:line="240" w:before="0" w:after="0"/>
              <w:rPr/>
            </w:pPr>
            <w:r>
              <w:rPr/>
              <w:t>Percentage of evaluated cases containing the target failure.</w:t>
            </w:r>
          </w:p>
        </w:tc>
      </w:tr>
      <w:tr>
        <w:trPr/>
        <w:tc>
          <w:tcPr>
            <w:tcW w:w="5040" w:type="dxa"/>
            <w:tcBorders/>
            <w:shd w:fill="auto" w:val="clear"/>
          </w:tcPr>
          <w:p>
            <w:pPr>
              <w:pStyle w:val="Normal"/>
              <w:spacing w:lineRule="auto" w:line="240" w:before="0" w:after="0"/>
              <w:rPr/>
            </w:pPr>
            <w:r>
              <w:rPr/>
              <w:t>Category Error Rate</w:t>
            </w:r>
          </w:p>
        </w:tc>
        <w:tc>
          <w:tcPr>
            <w:tcW w:w="5039" w:type="dxa"/>
            <w:tcBorders/>
            <w:shd w:fill="auto" w:val="clear"/>
          </w:tcPr>
          <w:p>
            <w:pPr>
              <w:pStyle w:val="Normal"/>
              <w:spacing w:lineRule="auto" w:line="240" w:before="0" w:after="0"/>
              <w:rPr/>
            </w:pPr>
            <w:r>
              <w:rPr/>
              <w:t>Separate error percentage for KM, KE, RE and IFE.</w:t>
            </w:r>
          </w:p>
        </w:tc>
      </w:tr>
      <w:tr>
        <w:trPr/>
        <w:tc>
          <w:tcPr>
            <w:tcW w:w="5040" w:type="dxa"/>
            <w:tcBorders/>
            <w:shd w:fill="auto" w:val="clear"/>
          </w:tcPr>
          <w:p>
            <w:pPr>
              <w:pStyle w:val="Normal"/>
              <w:spacing w:lineRule="auto" w:line="240" w:before="0" w:after="0"/>
              <w:rPr/>
            </w:pPr>
            <w:r>
              <w:rPr/>
              <w:t>Accuracy</w:t>
            </w:r>
          </w:p>
        </w:tc>
        <w:tc>
          <w:tcPr>
            <w:tcW w:w="5039" w:type="dxa"/>
            <w:tcBorders/>
            <w:shd w:fill="auto" w:val="clear"/>
          </w:tcPr>
          <w:p>
            <w:pPr>
              <w:pStyle w:val="Normal"/>
              <w:spacing w:lineRule="auto" w:line="240" w:before="0" w:after="0"/>
              <w:rPr/>
            </w:pPr>
            <w:r>
              <w:rPr/>
              <w:t>Correct responses divided by total evaluated responses where applicable.</w:t>
            </w:r>
          </w:p>
        </w:tc>
      </w:tr>
      <w:tr>
        <w:trPr/>
        <w:tc>
          <w:tcPr>
            <w:tcW w:w="5040" w:type="dxa"/>
            <w:tcBorders/>
            <w:shd w:fill="auto" w:val="clear"/>
          </w:tcPr>
          <w:p>
            <w:pPr>
              <w:pStyle w:val="Normal"/>
              <w:spacing w:lineRule="auto" w:line="240" w:before="0" w:after="0"/>
              <w:rPr/>
            </w:pPr>
            <w:r>
              <w:rPr/>
              <w:t>Inter-Rater Agreement</w:t>
            </w:r>
          </w:p>
        </w:tc>
        <w:tc>
          <w:tcPr>
            <w:tcW w:w="5039" w:type="dxa"/>
            <w:tcBorders/>
            <w:shd w:fill="auto" w:val="clear"/>
          </w:tcPr>
          <w:p>
            <w:pPr>
              <w:pStyle w:val="Normal"/>
              <w:spacing w:lineRule="auto" w:line="240" w:before="0" w:after="0"/>
              <w:rPr/>
            </w:pPr>
            <w:r>
              <w:rPr/>
              <w:t>Agreement between human annotators on the assigned error category.</w:t>
            </w:r>
          </w:p>
        </w:tc>
      </w:tr>
      <w:tr>
        <w:trPr/>
        <w:tc>
          <w:tcPr>
            <w:tcW w:w="5040" w:type="dxa"/>
            <w:tcBorders/>
            <w:shd w:fill="auto" w:val="clear"/>
          </w:tcPr>
          <w:p>
            <w:pPr>
              <w:pStyle w:val="Normal"/>
              <w:spacing w:lineRule="auto" w:line="240" w:before="0" w:after="0"/>
              <w:rPr/>
            </w:pPr>
            <w:r>
              <w:rPr/>
              <w:t>Model Comparison</w:t>
            </w:r>
          </w:p>
        </w:tc>
        <w:tc>
          <w:tcPr>
            <w:tcW w:w="5039" w:type="dxa"/>
            <w:tcBorders/>
            <w:shd w:fill="auto" w:val="clear"/>
          </w:tcPr>
          <w:p>
            <w:pPr>
              <w:pStyle w:val="Normal"/>
              <w:spacing w:lineRule="auto" w:line="240" w:before="0" w:after="0"/>
              <w:rPr/>
            </w:pPr>
            <w:r>
              <w:rPr/>
              <w:t>Rank/compare models by overall and category-specific error rates.</w:t>
            </w:r>
          </w:p>
        </w:tc>
      </w:tr>
    </w:tbl>
    <w:p>
      <w:pPr>
        <w:pStyle w:val="Heading1"/>
        <w:rPr/>
      </w:pPr>
      <w:r>
        <w:rPr/>
        <w:t>9. Expected Dataset and Experimental Setup</w:t>
      </w:r>
    </w:p>
    <w:p>
      <w:pPr>
        <w:pStyle w:val="ListBullet"/>
        <w:numPr>
          <w:ilvl w:val="0"/>
          <w:numId w:val="1"/>
        </w:numPr>
        <w:rPr/>
      </w:pPr>
      <w:r>
        <w:rPr/>
        <w:t>Dataset size: approximately 150–300 controlled QA prompts.</w:t>
      </w:r>
    </w:p>
    <w:p>
      <w:pPr>
        <w:pStyle w:val="ListBullet"/>
        <w:numPr>
          <w:ilvl w:val="0"/>
          <w:numId w:val="1"/>
        </w:numPr>
        <w:rPr/>
      </w:pPr>
      <w:r>
        <w:rPr/>
        <w:t>Models: 3–5 accessible LLMs, selected according to availability and course requirements.</w:t>
      </w:r>
    </w:p>
    <w:p>
      <w:pPr>
        <w:pStyle w:val="ListBullet"/>
        <w:numPr>
          <w:ilvl w:val="0"/>
          <w:numId w:val="1"/>
        </w:numPr>
        <w:rPr/>
      </w:pPr>
      <w:r>
        <w:rPr/>
        <w:t>Four target categories: Knowledge Missing (KM), Knowledge Error (KE), Reasoning Error (RE), and Instruction-Following Error (IFE).</w:t>
      </w:r>
    </w:p>
    <w:p>
      <w:pPr>
        <w:pStyle w:val="ListBullet"/>
        <w:numPr>
          <w:ilvl w:val="0"/>
          <w:numId w:val="1"/>
        </w:numPr>
        <w:rPr/>
      </w:pPr>
      <w:r>
        <w:rPr/>
        <w:t>Same prompts, scoring rules, and evaluation conditions will be applied to every model.</w:t>
      </w:r>
    </w:p>
    <w:p>
      <w:pPr>
        <w:pStyle w:val="ListBullet"/>
        <w:numPr>
          <w:ilvl w:val="0"/>
          <w:numId w:val="1"/>
        </w:numPr>
        <w:rPr/>
      </w:pPr>
      <w:r>
        <w:rPr/>
        <w:t>Tools may include Python, pandas, spreadsheets, and API/web interfaces available for the selected LLMs.</w:t>
      </w:r>
    </w:p>
    <w:p>
      <w:pPr>
        <w:pStyle w:val="Heading1"/>
        <w:rPr/>
      </w:pPr>
      <w:r>
        <w:rPr/>
        <w:t>10. Expected Results</w:t>
      </w:r>
    </w:p>
    <w:p>
      <w:pPr>
        <w:pStyle w:val="Normal"/>
        <w:rPr/>
      </w:pPr>
      <w:r>
        <w:rPr/>
        <w:t>The study is expected to produce a comparison table and graphs showing which hallucination categories are most frequent in each model. It should also reveal whether a model that has a lower overall error rate still has a specific weakness, such as reasoning or instruction-following.</w:t>
      </w:r>
    </w:p>
    <w:p>
      <w:pPr>
        <w:pStyle w:val="Heading1"/>
        <w:rPr/>
      </w:pPr>
      <w:r>
        <w:rPr/>
        <w:t>11. Proposed Research Contribution</w:t>
      </w:r>
    </w:p>
    <w:p>
      <w:pPr>
        <w:pStyle w:val="Normal"/>
        <w:rPr/>
      </w:pPr>
      <w:r>
        <w:rPr/>
        <w:t>The student-scale contribution will be a reproducible mini-benchmark and taxonomy-based error analysis for accessible LLMs. The work will adapt the diagnostic idea of PRISM to a smaller controlled setting, rather than attempting to reproduce the full 9,448-instance benchmark.</w:t>
      </w:r>
    </w:p>
    <w:p>
      <w:pPr>
        <w:pStyle w:val="Heading1"/>
        <w:rPr/>
      </w:pPr>
      <w:r>
        <w:rPr/>
        <w:t>12. Simple Workflow</w:t>
      </w:r>
    </w:p>
    <w:p>
      <w:pPr>
        <w:pStyle w:val="Normal"/>
        <w:jc w:val="center"/>
        <w:rPr/>
      </w:pPr>
      <w:r>
        <w:rPr>
          <w:b/>
        </w:rPr>
        <w:t>Prompt Dataset → 3–5 LLMs → Collect Answers → Check Correctness → Classify Error Type → Calculate Error Rates → Compare Models → Error Analysis → Conclusion</w:t>
      </w:r>
    </w:p>
    <w:p>
      <w:pPr>
        <w:pStyle w:val="Heading1"/>
        <w:rPr/>
      </w:pPr>
      <w:r>
        <w:rPr/>
        <w:t>13. Limitations</w:t>
      </w:r>
    </w:p>
    <w:p>
      <w:pPr>
        <w:pStyle w:val="ListBullet"/>
        <w:numPr>
          <w:ilvl w:val="0"/>
          <w:numId w:val="1"/>
        </w:numPr>
        <w:rPr/>
      </w:pPr>
      <w:r>
        <w:rPr/>
        <w:t>Only a small subset of prompts will be used, so results may not represent every possible LLM task.</w:t>
      </w:r>
    </w:p>
    <w:p>
      <w:pPr>
        <w:pStyle w:val="ListBullet"/>
        <w:numPr>
          <w:ilvl w:val="0"/>
          <w:numId w:val="1"/>
        </w:numPr>
        <w:rPr/>
      </w:pPr>
      <w:r>
        <w:rPr/>
        <w:t>Accessible model versions can change over time.</w:t>
      </w:r>
    </w:p>
    <w:p>
      <w:pPr>
        <w:pStyle w:val="ListBullet"/>
        <w:numPr>
          <w:ilvl w:val="0"/>
          <w:numId w:val="1"/>
        </w:numPr>
        <w:rPr/>
      </w:pPr>
      <w:r>
        <w:rPr/>
        <w:t>Some open-ended responses may require human or LLM-assisted judgment.</w:t>
      </w:r>
    </w:p>
    <w:p>
      <w:pPr>
        <w:pStyle w:val="ListBullet"/>
        <w:numPr>
          <w:ilvl w:val="0"/>
          <w:numId w:val="1"/>
        </w:numPr>
        <w:rPr/>
      </w:pPr>
      <w:r>
        <w:rPr/>
        <w:t>Prompt wording can affect model behavior, so prompts must be fixed before evaluation.</w:t>
      </w:r>
    </w:p>
    <w:p>
      <w:pPr>
        <w:pStyle w:val="Heading1"/>
        <w:rPr/>
      </w:pPr>
      <w:r>
        <w:rPr/>
        <w:t>14. Conclusion</w:t>
      </w:r>
    </w:p>
    <w:p>
      <w:pPr>
        <w:pStyle w:val="Normal"/>
        <w:rPr/>
      </w:pPr>
      <w:r>
        <w:rPr/>
        <w:t>This research will study LLM reliability through diagnostic evaluation of hallucinations. The main problem is not only that LLMs can produce wrong answers, but that conventional evaluation often does not identify the underlying type of failure. By using a PRISM-inspired four-category taxonomy, controlled prompts, consistent scoring, and error analysis, the project can identify where different LLMs are most likely to fail and provide evidence for future mitigation.</w:t>
      </w:r>
    </w:p>
    <w:p>
      <w:pPr>
        <w:pStyle w:val="Heading1"/>
        <w:rPr/>
      </w:pPr>
      <w:r>
        <w:rPr/>
        <w:t>15. Reference</w:t>
      </w:r>
    </w:p>
    <w:p>
      <w:pPr>
        <w:pStyle w:val="Normal"/>
        <w:rPr/>
      </w:pPr>
      <w:r>
        <w:rPr/>
        <w:t>Wu, Y., Wang, G., Chen, Y., Zhang, J., Zhang, Y., Chen, Y., Shang, J., Zhang, G., &amp; Liu, Z. (2026). PRISM: Probing Reasoning, Instruction, and Source Memory in LLM Hallucinations. Proceedings of the 64th Annual Meeting of the Association for Computational Linguistics (ACL 2026), 33619–33656. DOI: 10.18653/v1/2026.acl-long.1551.</w:t>
      </w:r>
    </w:p>
    <w:p>
      <w:pPr>
        <w:pStyle w:val="Normal"/>
        <w:rPr/>
      </w:pPr>
      <w:r>
        <w:rPr/>
        <w:t>Base paper: https://aclanthology.org/2026.acl-long.1551/</w:t>
      </w:r>
    </w:p>
    <w:p>
      <w:pPr>
        <w:pStyle w:val="Normal"/>
        <w:rPr/>
      </w:pPr>
      <w:r>
        <w:rPr/>
      </w:r>
    </w:p>
    <w:p>
      <w:pPr>
        <w:pStyle w:val="Normal"/>
        <w:spacing w:before="0" w:after="200"/>
        <w:jc w:val="center"/>
        <w:rPr>
          <w:i/>
          <w:i/>
          <w:sz w:val="18"/>
        </w:rPr>
      </w:pPr>
      <w:r>
        <w:rPr/>
      </w:r>
    </w:p>
    <w:sectPr>
      <w:type w:val="nextPage"/>
      <w:pgSz w:w="12240" w:h="15840"/>
      <w:pgMar w:left="1080" w:right="1080" w:header="0" w:top="936" w:footer="0"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Neat_Office/6.2.8.2$Windows_x86 LibreOffice_project/</Application>
  <Pages>4</Pages>
  <Words>1030</Words>
  <Characters>6184</Characters>
  <CharactersWithSpaces>7080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2026-10-08T21:40:29Z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