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Global Banking Sector Stability Around Systemic Crises (2000-2023)</w:t>
      </w:r>
    </w:p>
    <w:p>
      <w:pPr>
        <w:pStyle w:val="Normal"/>
      </w:pPr>
      <w:r>
        <w:t xml:space="preserve">Raw empirical results document. All tables generated directly from World Bank GFDD/WDI panel data. Figures are produced separately in 03_generate_figures.R.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1. Descriptive Statistics (by Income Group)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57"/>
        <w:gridCol w:w="1932"/>
        <w:gridCol w:w="886"/>
        <w:gridCol w:w="1097"/>
        <w:gridCol w:w="1118"/>
        <w:gridCol w:w="1055"/>
        <w:gridCol w:w="1097"/>
      </w:tblGrid>
      <w:tr>
        <w:trPr>
          <w:trHeight w:val="60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Std Dev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Max</w:t>
            </w:r>
          </w:p>
        </w:tc>
      </w:tr>
      <w:tr>
        <w:trPr>
          <w:trHeight w:val="58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Emerging market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bank_zscore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1,909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16.337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9.296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66.634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Emerging market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capital_to_assets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1,266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8.457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7.761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74.100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Emerging market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gdp_growth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2,422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3.946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5.806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-50.339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86.827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Emerging market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inflation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19.637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-16.860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557.202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Emerging market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liquid_to_deposits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39.155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31.457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295.307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Emerging market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npl_ratio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87.655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66.368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7.619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898.048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Emerging market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roa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1,866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2.076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2.540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-55.412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21.925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High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bank_zscore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1,225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16.282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9.612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-0.326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57.441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High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capital_to_assets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1,024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4.575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5.810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47.748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High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gdp_growth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1,336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2.756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4.877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-54.402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43.480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High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inflation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1,327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2.708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3.465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-4.863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45.667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High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liquid_to_deposits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1,259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82.660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61.452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14.925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462.130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High income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npl_ratio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1,260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106.597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51.404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17.757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370.900</w:t>
            </w:r>
          </w:p>
        </w:tc>
      </w:tr>
      <w:tr>
        <w:trPr>
          <w:trHeight w:val="594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High income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roa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1,212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1.811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-17.658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38.875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2. Structural Break Test (Chow-style F-test)</w:t>
      </w:r>
    </w:p>
    <w:p>
      <w:pPr>
        <w:pStyle w:val="Normal"/>
      </w:pPr>
      <w:r>
        <w:t xml:space="preserve">Tests whether the global average Bank Z-score trend breaks significantly at each crisis year.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14"/>
        <w:gridCol w:w="1773"/>
        <w:gridCol w:w="1308"/>
        <w:gridCol w:w="1087"/>
        <w:gridCol w:w="1023"/>
        <w:gridCol w:w="1128"/>
        <w:gridCol w:w="2718"/>
      </w:tblGrid>
      <w:tr>
        <w:trPr>
          <w:trHeight w:val="60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Crisis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Break tested 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F-statistic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N (pre)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N (post)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Significant break (p&lt;0.05)</w:t>
            </w:r>
          </w:p>
        </w:tc>
      </w:tr>
      <w:tr>
        <w:trPr>
          <w:trHeight w:val="58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GFC (2008)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2,008.000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4.509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Yes</w:t>
            </w:r>
          </w:p>
        </w:tc>
      </w:tr>
      <w:tr>
        <w:trPr>
          <w:trHeight w:val="594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COVID (2020)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2,020.000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N/A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3. Panel Fixed Effects vs Random Effects + Hausman 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32"/>
        <w:gridCol w:w="1150"/>
        <w:gridCol w:w="1371"/>
        <w:gridCol w:w="1171"/>
        <w:gridCol w:w="1393"/>
      </w:tblGrid>
      <w:tr>
        <w:trPr>
          <w:trHeight w:val="60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FE coef.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FE 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RE coef.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RE p-value</w:t>
            </w:r>
          </w:p>
        </w:tc>
      </w:tr>
      <w:tr>
        <w:trPr>
          <w:trHeight w:val="58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capital_to_assets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-0.043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0.205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-0.074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0.079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npl_ratio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0.339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roa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0.017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liquid_to_deposits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0.215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gdp_growth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0.047</w:t>
            </w:r>
          </w:p>
        </w:tc>
      </w:tr>
      <w:tr>
        <w:trPr>
          <w:trHeight w:val="594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inflation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0.033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0.206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Note: the Hausman statistic can be unreliable in finite samples if the FE/RE variance-difference matrix is not well-behaved - a known small-sample issue, not a coding error.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05"/>
        <w:gridCol w:w="1392"/>
        <w:gridCol w:w="1087"/>
        <w:gridCol w:w="1868"/>
      </w:tblGrid>
      <w:tr>
        <w:trPr>
          <w:trHeight w:val="60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Chi-sq stat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Preferred model</w:t>
            </w:r>
          </w:p>
        </w:tc>
      </w:tr>
      <w:tr>
        <w:trPr>
          <w:trHeight w:val="587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Hausman (FE vs RE)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94.932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Fixed Effects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4. Difference-in-Differences: 2008 Global Financial Crisis</w:t>
      </w:r>
    </w:p>
    <w:p>
      <w:pPr>
        <w:pStyle w:val="Normal"/>
      </w:pPr>
      <w:r>
        <w:t xml:space="preserve">Treatment = Emerging market economies. Control = High income economies. Two-way fixed effects; only the treat x post interaction (the DiD estimate) is identifiable and reported.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4"/>
        <w:gridCol w:w="1256"/>
        <w:gridCol w:w="1392"/>
        <w:gridCol w:w="1287"/>
        <w:gridCol w:w="1087"/>
      </w:tblGrid>
      <w:tr>
        <w:trPr>
          <w:trHeight w:val="60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Crisis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P-value</w:t>
            </w:r>
          </w:p>
        </w:tc>
      </w:tr>
      <w:tr>
        <w:trPr>
          <w:trHeight w:val="587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GFC (2008)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treat_post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0.732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0.837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5. Difference-in-Differences: 2020 COVID-19 Shock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14"/>
        <w:gridCol w:w="1256"/>
        <w:gridCol w:w="1392"/>
        <w:gridCol w:w="1287"/>
        <w:gridCol w:w="1087"/>
      </w:tblGrid>
      <w:tr>
        <w:trPr>
          <w:trHeight w:val="60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Crisis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P-value</w:t>
            </w:r>
          </w:p>
        </w:tc>
      </w:tr>
      <w:tr>
        <w:trPr>
          <w:trHeight w:val="587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COVID (2020)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treat_post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-0.224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0.606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0.711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6. Event Study: Z-score Relative to Crisis Year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4"/>
        <w:gridCol w:w="2428"/>
        <w:gridCol w:w="1963"/>
        <w:gridCol w:w="1551"/>
      </w:tblGrid>
      <w:tr>
        <w:trPr>
          <w:trHeight w:val="60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Crisis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Years relative to crisis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Emerging market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High income</w:t>
            </w:r>
          </w:p>
        </w:tc>
      </w:tr>
      <w:tr>
        <w:trPr>
          <w:trHeight w:val="58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GFC (2008)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-3.000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15.632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15.708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GFC (2008)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-2.000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16.274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16.093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GFC (2008)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16.212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16.041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GFC (2008)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14.361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GFC (2008)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15.440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GFC (2008)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15.778</w:t>
            </w:r>
          </w:p>
        </w:tc>
      </w:tr>
      <w:tr>
        <w:trPr>
          <w:trHeight w:val="594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GFC (2008)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16.861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15.425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14"/>
        <w:gridCol w:w="2428"/>
        <w:gridCol w:w="1963"/>
        <w:gridCol w:w="1551"/>
      </w:tblGrid>
      <w:tr>
        <w:trPr>
          <w:trHeight w:val="60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Crisis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Years relative to crisis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Emerging market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High income</w:t>
            </w:r>
          </w:p>
        </w:tc>
      </w:tr>
      <w:tr>
        <w:trPr>
          <w:trHeight w:val="58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COVID (2020)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-3.000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16.566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17.825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COVID (2020)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-2.000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16.618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18.262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COVID (2020)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17.261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18.205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COVID (2020)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16.768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16.769</w:t>
            </w:r>
          </w:p>
        </w:tc>
      </w:tr>
      <w:tr>
        <w:trPr>
          <w:trHeight w:val="594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COVID (2020)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17.850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16.996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7. Robustness Checks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64"/>
        <w:gridCol w:w="1878"/>
        <w:gridCol w:w="1087"/>
      </w:tblGrid>
      <w:tr>
        <w:trPr>
          <w:trHeight w:val="60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Check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Interaction coef.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9"/>
                <w:szCs w:val="19"/>
                <w:color w:val="FFFFFF"/>
              </w:rPr>
              <w:t xml:space="preserve">P-value</w:t>
            </w:r>
          </w:p>
        </w:tc>
      </w:tr>
      <w:tr>
        <w:trPr>
          <w:trHeight w:val="58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Main DiD (clustered SE by country)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0.837</w:t>
            </w:r>
          </w:p>
        </w:tc>
      </w:tr>
      <w:tr>
        <w:trPr>
          <w:trHeight w:val="58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Placebo test (fake break at 2004)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0.759</w:t>
            </w:r>
          </w:p>
        </w:tc>
      </w:tr>
      <w:tr>
        <w:trPr>
          <w:trHeight w:val="594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Main DiD, Z-score winsorized at 1%/99%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0.867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2026-08-30T16:42:06Z</dcterms:modified>
  <cp:category/>
</cp:coreProperties>
</file>