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Global Banking Sector Stability Around Systemic Crises (2000-2023)</w:t>
      </w:r>
    </w:p>
    <w:p>
      <w:r>
        <w:rPr>
          <w:i/>
          <w:color w:val="555555"/>
          <w:sz w:val="19"/>
        </w:rPr>
        <w:t>Raw empirical results document. All tables generated directly from World Bank GFDD/WDI panel data. Figures are produced separately in 03_generate_figures.py.</w:t>
      </w:r>
    </w:p>
    <w:p/>
    <w:p>
      <w:pPr>
        <w:pStyle w:val="Heading1"/>
      </w:pPr>
      <w:r>
        <w:rPr>
          <w:color w:val="1F3864"/>
        </w:rPr>
        <w:t>1. Descriptive Statistics (by Income Group)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Std Dev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Emerging market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bank_zscore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1964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16.242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9.208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-0.017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66.634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Emerging market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capital_to_assets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1283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8.594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7.821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0.000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74.100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Emerging market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npl_ratio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2499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86.634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65.750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7.619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898.048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Emerging market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roa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1920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2.051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2.518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-55.412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21.925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Emerging market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liquid_to_deposits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2499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38.955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31.145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0.610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295.307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Emerging market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gdp_growth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2576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3.980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5.790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-50.339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86.827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Emerging market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inflation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2504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8.004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22.876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-16.860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557.202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High income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bank_zscore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1242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16.202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9.573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-0.326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57.441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High income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capital_to_assets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1024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4.575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5.810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0.092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47.748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High income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npl_ratio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1260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106.597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51.404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17.757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370.900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High income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roa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1229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1.121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1.802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-17.658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38.875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High income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liquid_to_deposits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82.660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61.452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14.925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462.130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High income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gdp_growth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1375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2.718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4.835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-54.402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43.480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High income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inflation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1366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2.697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3.426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-4.863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45.667</w:t>
            </w:r>
          </w:p>
        </w:tc>
      </w:tr>
    </w:tbl>
    <w:p/>
    <w:p>
      <w:pPr>
        <w:pStyle w:val="Heading1"/>
      </w:pPr>
      <w:r>
        <w:rPr>
          <w:color w:val="1F3864"/>
        </w:rPr>
        <w:t>2. Structural Break Test (Chow Test)</w:t>
      </w:r>
    </w:p>
    <w:p>
      <w:r>
        <w:rPr>
          <w:i/>
          <w:color w:val="555555"/>
          <w:sz w:val="19"/>
        </w:rPr>
        <w:t>Tests whether the global average Bank Z-score trend breaks significantly at each crisis year.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Crisis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Break tested at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F-statistic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 (pre)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 (post)</w:t>
            </w:r>
          </w:p>
        </w:tc>
        <w:tc>
          <w:tcPr>
            <w:tcW w:type="dxa" w:w="1234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Significant break (p&lt;0.05)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2008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3.976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0.037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COVID (2020)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2020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</w:tbl>
    <w:p/>
    <w:p>
      <w:pPr>
        <w:pStyle w:val="Heading1"/>
      </w:pPr>
      <w:r>
        <w:rPr>
          <w:color w:val="1F3864"/>
        </w:rPr>
        <w:t>3. Panel Fixed Effects vs Random Effects + Hausman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 coef.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 p-value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 coef.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 p-value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const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17.624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16.474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capital_to_assets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-0.045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0.195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-0.075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0.066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npl_ratio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-0.003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0.675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-0.006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0.413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roa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0.226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0.205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0.016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liquid_to_deposits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-0.022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0.226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gdp_growth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0.041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inflation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0.219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-0.028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0.186</w:t>
            </w:r>
          </w:p>
        </w:tc>
      </w:tr>
    </w:tbl>
    <w:p/>
    <w:p>
      <w:r>
        <w:rPr>
          <w:i/>
          <w:color w:val="555555"/>
          <w:sz w:val="19"/>
        </w:rPr>
        <w:t>Note: the Hausman statistic can be invalid ('Inconclusive') in finite samples when the FE/RE variance-difference matrix is not positive definite - a well-known small-sample issue, not a coding error. If this occurs, fall back to theory/robustness checks to choose FE vs 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Chi-sq stat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Preferred model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Hausman (FE vs RE)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Inconclusive (test statistic invalid - see note below)</w:t>
            </w:r>
          </w:p>
        </w:tc>
      </w:tr>
    </w:tbl>
    <w:p/>
    <w:p>
      <w:pPr>
        <w:pStyle w:val="Heading1"/>
      </w:pPr>
      <w:r>
        <w:rPr>
          <w:color w:val="1F3864"/>
        </w:rPr>
        <w:t>4. Difference-in-Differences: 2008 Global Financial Crisis</w:t>
      </w:r>
    </w:p>
    <w:p>
      <w:r>
        <w:rPr>
          <w:i/>
          <w:color w:val="555555"/>
          <w:sz w:val="19"/>
        </w:rPr>
        <w:t>Treatment = Emerging market economies. Control = High income economies. Two-way fixed effects (country + year); standalone treat/post terms are absorbed by the fixed effects, so only the treat x post interaction (the DiD estimate) is reported.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Crisis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Coefficient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Std. Error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P-value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const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16.154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0.305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treat_post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0.177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0.741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0.811</w:t>
            </w:r>
          </w:p>
        </w:tc>
      </w:tr>
    </w:tbl>
    <w:p/>
    <w:p>
      <w:pPr>
        <w:pStyle w:val="Heading1"/>
      </w:pPr>
      <w:r>
        <w:rPr>
          <w:color w:val="1F3864"/>
        </w:rPr>
        <w:t>5. Difference-in-Differences: 2020 COVID-19 Shock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Crisis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Coefficient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Std. Error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P-value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COVID (2020)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const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16.241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COVID (2020)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treat_post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-0.289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0.623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0.643</w:t>
            </w:r>
          </w:p>
        </w:tc>
      </w:tr>
    </w:tbl>
    <w:p/>
    <w:p>
      <w:pPr>
        <w:pStyle w:val="Heading1"/>
      </w:pPr>
      <w:r>
        <w:rPr>
          <w:color w:val="1F3864"/>
        </w:rPr>
        <w:t>6. Event Study: Z-score Relative to Crisis Year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Crisis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Years relative to crisis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Emerging market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High income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-3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15.514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15.612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-2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16.193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15.980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-1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16.155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15.894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15.998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14.250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16.057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15.338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16.064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15.693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GFC (2008)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16.776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15.356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Crisis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Years relative to crisis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Emerging market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High income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COVID (2020)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-3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16.449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17.682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COVID (2020)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-2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16.504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18.131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COVID (2020)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-1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17.114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18.082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COVID (2020)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16.579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16.769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COVID (2020)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17.750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16.996</w:t>
            </w:r>
          </w:p>
        </w:tc>
      </w:tr>
    </w:tbl>
    <w:p/>
    <w:p>
      <w:pPr>
        <w:pStyle w:val="Heading1"/>
      </w:pPr>
      <w:r>
        <w:rPr>
          <w:color w:val="1F3864"/>
        </w:rPr>
        <w:t>7. Robustness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Interaction coef.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P-value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Main DiD (clustered SE by country)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0.177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0.811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Placebo test (fake break at 2004)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0.294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0.752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Main DiD, Z-score winsorized at 1%/99%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0.143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0.835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