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D36B6">
      <w:pPr>
        <w:spacing w:before="0" w:after="60"/>
        <w:jc w:val="center"/>
      </w:pPr>
      <w:r>
        <w:rPr>
          <w:rFonts w:ascii="Calibri" w:hAnsi="Calibri" w:eastAsia="Calibri" w:cs="Calibri"/>
          <w:b/>
          <w:bCs/>
          <w:color w:val="1F4E79"/>
          <w:sz w:val="44"/>
          <w:szCs w:val="44"/>
        </w:rPr>
        <w:t xml:space="preserve">LAIBA </w:t>
      </w:r>
      <w:bookmarkStart w:id="0" w:name="_GoBack"/>
      <w:bookmarkEnd w:id="0"/>
    </w:p>
    <w:p w14:paraId="27612E3B">
      <w:pPr>
        <w:spacing w:before="0" w:after="40"/>
        <w:jc w:val="center"/>
      </w:pPr>
      <w:r>
        <w:rPr>
          <w:rFonts w:ascii="Calibri" w:hAnsi="Calibri" w:eastAsia="Calibri" w:cs="Calibri"/>
          <w:color w:val="595959"/>
          <w:sz w:val="20"/>
          <w:szCs w:val="20"/>
        </w:rPr>
        <w:t>Bu Tina, Sharjah, UAE  |  +971 544 663 579  |  laibasohail1235@gmail.com  |  linkedin.com/in/laiba-muhammad-sohail-bb6120384</w:t>
      </w:r>
    </w:p>
    <w:p w14:paraId="7465D723">
      <w:pPr>
        <w:spacing w:before="0" w:after="160"/>
        <w:jc w:val="center"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>English: C2 Proficient  |  Urdu: Native  |  Pashto: Native</w:t>
      </w:r>
    </w:p>
    <w:p w14:paraId="23E66D57">
      <w:pPr>
        <w:pBdr>
          <w:bottom w:val="single" w:color="1F4E79" w:sz="8" w:space="4"/>
        </w:pBdr>
        <w:spacing w:before="20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PROFESSIONAL SUMMARY</w:t>
      </w:r>
    </w:p>
    <w:p w14:paraId="2F537D82">
      <w:pPr>
        <w:spacing w:before="80" w:after="80"/>
      </w:pPr>
      <w:r>
        <w:rPr>
          <w:rFonts w:ascii="Calibri" w:hAnsi="Calibri" w:eastAsia="Calibri" w:cs="Calibri"/>
          <w:sz w:val="20"/>
          <w:szCs w:val="20"/>
        </w:rPr>
        <w:t>Results-driven recent graduate combining business analysis, risk management, accounting software proficiency, and English language education expertise. Certified in Technology Risk (EY/Forage), QuickBooks Online, Zoho Books, Zoho CRM, and TESOL (Arizona State University). Demonstrated success managing cross-functional teams, delivering 10+ national-scale events with zero budget overruns, and driving measurable stakeholder outcomes. Equipped with a C2 English proficiency and trilingual fluency — well-positioned for roles across the UAE in consulting, education, finance operations, or programme management.</w:t>
      </w:r>
    </w:p>
    <w:p w14:paraId="33E39F11">
      <w:pPr>
        <w:pBdr>
          <w:bottom w:val="single" w:color="1F4E79" w:sz="8" w:space="4"/>
        </w:pBdr>
        <w:spacing w:before="20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EDUCATION</w:t>
      </w:r>
    </w:p>
    <w:p w14:paraId="1DDA6CCE">
      <w:pPr>
        <w:tabs>
          <w:tab w:val="right" w:pos="9746"/>
        </w:tabs>
        <w:spacing w:before="160" w:after="30"/>
      </w:pPr>
      <w:r>
        <w:rPr>
          <w:rFonts w:ascii="Calibri" w:hAnsi="Calibri" w:eastAsia="Calibri" w:cs="Calibri"/>
          <w:b/>
          <w:bCs/>
          <w:sz w:val="21"/>
          <w:szCs w:val="21"/>
        </w:rPr>
        <w:t>BSc English Literature &amp; Linguistics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|  Iqra National University, Peshawar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ab/>
        <w:t>Jul 2021 – Mar 2026</w:t>
      </w:r>
    </w:p>
    <w:p w14:paraId="2072611A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GPA: 3.78 / 4.0 — consistent high academic performance across a 4-year programme</w:t>
      </w:r>
    </w:p>
    <w:p w14:paraId="7883532E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Relevant Coursework: Business Communication, AI &amp; Technology Studies, Communication Studies, Translation Studies</w:t>
      </w:r>
    </w:p>
    <w:p w14:paraId="2929A027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Leadership: President, Literary Society  |  Head Event Organiser  |  Debate Team Leader</w:t>
      </w:r>
    </w:p>
    <w:p w14:paraId="55C45D70">
      <w:pPr>
        <w:pBdr>
          <w:bottom w:val="single" w:color="1F4E79" w:sz="8" w:space="4"/>
        </w:pBdr>
        <w:spacing w:before="20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PROFESSIONAL EXPERIENCE</w:t>
      </w:r>
    </w:p>
    <w:p w14:paraId="0DEE6F7E">
      <w:pPr>
        <w:tabs>
          <w:tab w:val="right" w:pos="9746"/>
        </w:tabs>
        <w:spacing w:before="160" w:after="30"/>
      </w:pPr>
      <w:r>
        <w:rPr>
          <w:rFonts w:ascii="Calibri" w:hAnsi="Calibri" w:eastAsia="Calibri" w:cs="Calibri"/>
          <w:b/>
          <w:bCs/>
          <w:sz w:val="21"/>
          <w:szCs w:val="21"/>
        </w:rPr>
        <w:t>Technology Risk Analyst — Virtual Job Simulation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|  Ernst &amp; Young (EY) via Forage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ab/>
        <w:t>Jun 2026</w:t>
      </w:r>
    </w:p>
    <w:p w14:paraId="4B8D7491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Completed EY's Technology Risk Virtual Job Simulation, gaining hands-on exposure to risk analysis, internal controls, and business interaction frameworks used in professional advisory settings.</w:t>
      </w:r>
    </w:p>
    <w:p w14:paraId="348F8DF9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Applied professional scepticism and probing question techniques to assess technology risk scenarios, practising structured questioning methodologies aligned to EY's Technology Risk practice.</w:t>
      </w:r>
    </w:p>
    <w:p w14:paraId="466447A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Received competency sign-off across all modules: Basics of Technology Risk, Interacting with the Business, Question Development, and Conclusion. Verification Code: g3Q668rm7vSLZXW3N.</w:t>
      </w:r>
    </w:p>
    <w:p w14:paraId="014A0DDA">
      <w:pPr>
        <w:tabs>
          <w:tab w:val="right" w:pos="9746"/>
        </w:tabs>
        <w:spacing w:before="160" w:after="30"/>
      </w:pPr>
      <w:r>
        <w:rPr>
          <w:rFonts w:ascii="Calibri" w:hAnsi="Calibri" w:eastAsia="Calibri" w:cs="Calibri"/>
          <w:b/>
          <w:bCs/>
          <w:sz w:val="21"/>
          <w:szCs w:val="21"/>
        </w:rPr>
        <w:t>Event Coordinator &amp; Programme Manager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|  Iqra National University, Peshawar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ab/>
        <w:t>Dec 2021 – Mar 2026</w:t>
      </w:r>
    </w:p>
    <w:p w14:paraId="1763B488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Delivered 10+ national-scale events end-to-end — including the Iqra Literary Festival and Iqra Sports Festival — drawing 500+ participants from 15+ universities across KPK with zero budget overruns across a 4-year tenure.</w:t>
      </w:r>
    </w:p>
    <w:p w14:paraId="33E4050A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Directed cross-functional teams of 30+ volunteers across logistics, communications, and vendor management, maintaining 100% on-time delivery through structured task delegation and Trello/Asana workflow systems.</w:t>
      </w:r>
    </w:p>
    <w:p w14:paraId="1C85F86F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Engineered multi-channel promotional campaigns (social, digital, print) driving 40% year-on-year audience growth (200 to 280 participants, 2022–2024).</w:t>
      </w:r>
    </w:p>
    <w:p w14:paraId="487105DA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Managed stakeholder relationships with faculty, external sponsors, and inter-university partners — producing post-event performance reports with data analysis and actionable recommendations for institutional leadership.</w:t>
      </w:r>
    </w:p>
    <w:p w14:paraId="7FB5638A">
      <w:pPr>
        <w:tabs>
          <w:tab w:val="right" w:pos="9746"/>
        </w:tabs>
        <w:spacing w:before="160" w:after="30"/>
      </w:pPr>
      <w:r>
        <w:rPr>
          <w:rFonts w:ascii="Calibri" w:hAnsi="Calibri" w:eastAsia="Calibri" w:cs="Calibri"/>
          <w:b/>
          <w:bCs/>
          <w:sz w:val="21"/>
          <w:szCs w:val="21"/>
        </w:rPr>
        <w:t>Secondary Science Teacher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|  Dar-e-Arqam School, Katlang Campus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ab/>
        <w:t>Mar 2022 – Jan 2023</w:t>
      </w:r>
    </w:p>
    <w:p w14:paraId="2DF4D01C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Delivered structured, outcome-focused science curriculum to 80+ secondary students, improving class-average examination scores through differentiated instruction and data-driven progress tracking.</w:t>
      </w:r>
    </w:p>
    <w:p w14:paraId="619178D9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Applied probing question methodologies to assess comprehension gaps and adapted lesson plans in response to real-time assessment data.</w:t>
      </w:r>
    </w:p>
    <w:p w14:paraId="258C36AB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Maintained detailed student performance records communicated monthly to parents and school administration.</w:t>
      </w:r>
    </w:p>
    <w:p w14:paraId="3B48673B">
      <w:pPr>
        <w:pBdr>
          <w:bottom w:val="single" w:color="1F4E79" w:sz="8" w:space="4"/>
        </w:pBdr>
        <w:spacing w:before="20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CERTIFICATIONS &amp; PROFESSIONAL DEVELOPMENT</w:t>
      </w:r>
    </w:p>
    <w:p w14:paraId="7EE5297F">
      <w:pPr>
        <w:spacing w:before="80" w:after="4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3400"/>
        <w:gridCol w:w="1746"/>
      </w:tblGrid>
      <w:tr w14:paraId="28C29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8564F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EY Technology Risk Virtual Job Simulation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4A6443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Ernst &amp; Young / Forage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6A6241">
            <w:pPr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Jun 2026</w:t>
            </w:r>
          </w:p>
        </w:tc>
      </w:tr>
      <w:tr w14:paraId="02CB6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A28525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TESOL Certificate Part 1 &amp; 2: Teach English Now!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43667A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Arizona State University / Coursera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DFEE6B">
            <w:pPr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2026</w:t>
            </w:r>
          </w:p>
        </w:tc>
      </w:tr>
      <w:tr w14:paraId="2A836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313119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Master Zoho Books: Analyse, Manage &amp; Automate Accounting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4273CE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EDUCBA / Coursera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BA8729">
            <w:pPr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Jun 2026</w:t>
            </w:r>
          </w:p>
        </w:tc>
      </w:tr>
      <w:tr w14:paraId="4131F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1F59A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Managing Financial Accounts, Products &amp; Services (QBO)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98D2F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Packt / Coursera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91C526E">
            <w:pPr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Jun 2026</w:t>
            </w:r>
          </w:p>
        </w:tc>
      </w:tr>
      <w:tr w14:paraId="294B1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B8EC7B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Master QuickBooks Pro: Manage and Optimise Finances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E82140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EDUCBA / Coursera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D28B36">
            <w:pPr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Apr 2026</w:t>
            </w:r>
          </w:p>
        </w:tc>
      </w:tr>
      <w:tr w14:paraId="040C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C6E234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Introduction to QuickBooks Online &amp; Setting Up Your Business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6ECA68F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Packt / Coursera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B82FE3">
            <w:pPr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May 2026</w:t>
            </w:r>
          </w:p>
        </w:tc>
      </w:tr>
      <w:tr w14:paraId="3223F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403D0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Introduction to Generative AI Studio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F7D7E8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Simplilearn / Google Cloud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B7DEF9">
            <w:pPr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2025</w:t>
            </w:r>
          </w:p>
        </w:tc>
      </w:tr>
      <w:tr w14:paraId="10991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113802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Business Analysis Fundamentals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00FB34A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Simplilearn SkillUP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4B1CBA">
            <w:pPr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2025</w:t>
            </w:r>
          </w:p>
        </w:tc>
      </w:tr>
      <w:tr w14:paraId="42342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BE8EE1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Project Management 101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EAF60C">
            <w:pPr>
              <w:jc w:val="lef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Simplilearn SkillUP</w:t>
            </w:r>
          </w:p>
        </w:tc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3BDE9E">
            <w:pPr>
              <w:jc w:val="right"/>
            </w:pPr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2025</w:t>
            </w:r>
          </w:p>
        </w:tc>
      </w:tr>
    </w:tbl>
    <w:p w14:paraId="2C20E106">
      <w:pPr>
        <w:pBdr>
          <w:bottom w:val="single" w:color="1F4E79" w:sz="8" w:space="4"/>
        </w:pBdr>
        <w:spacing w:before="20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CORE COMPETENCIES &amp; SKILLS</w:t>
      </w:r>
    </w:p>
    <w:p w14:paraId="7E9A1BC0">
      <w:pPr>
        <w:spacing w:before="80" w:after="40"/>
      </w:pPr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946"/>
      </w:tblGrid>
      <w:tr w14:paraId="6058B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EF3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EAFE1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Risk &amp; Analysis</w:t>
            </w:r>
          </w:p>
        </w:tc>
        <w:tc>
          <w:tcPr>
            <w:tcW w:w="79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EF3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3698F"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Risk Analysis  •  Risk Assessment  •  Internal Controls  •  Professional Scepticism  •  Analytical Problem Solving</w:t>
            </w:r>
          </w:p>
        </w:tc>
      </w:tr>
      <w:tr w14:paraId="6DC7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C79E94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Business &amp; Finance</w:t>
            </w:r>
          </w:p>
        </w:tc>
        <w:tc>
          <w:tcPr>
            <w:tcW w:w="79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3F9AC"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Business Process Analysis  •  Stakeholder Management  •  Project Planning  •  Financial Reporting  •  QuickBooks Online  •  Zoho Books</w:t>
            </w:r>
          </w:p>
        </w:tc>
      </w:tr>
      <w:tr w14:paraId="35FA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EF3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5FF5AC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Communication</w:t>
            </w:r>
          </w:p>
        </w:tc>
        <w:tc>
          <w:tcPr>
            <w:tcW w:w="79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EF3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77FEE"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Communication Skills  •  Interpersonal Skills  •  Feedback Delivery  •  Public Speaking  •  TESOL-Certified English Teaching</w:t>
            </w:r>
          </w:p>
        </w:tc>
      </w:tr>
      <w:tr w14:paraId="6B41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81DA3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Leadership</w:t>
            </w:r>
          </w:p>
        </w:tc>
        <w:tc>
          <w:tcPr>
            <w:tcW w:w="79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4B3A6"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Cross-functional Team Leadership  •  Critical Thinking  •  Problem Solving  •  Teamwork  •  Conflict Resolution</w:t>
            </w:r>
          </w:p>
        </w:tc>
      </w:tr>
      <w:tr w14:paraId="689F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EF3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FC9B3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Technology</w:t>
            </w:r>
          </w:p>
        </w:tc>
        <w:tc>
          <w:tcPr>
            <w:tcW w:w="79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EF3F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7AEDD"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MS Office Suite (Excel, PowerPoint, Word)  •  Google Workspace  •  Generative AI Tools  •  Trello  •  Asana  •  Notion</w:t>
            </w:r>
          </w:p>
        </w:tc>
      </w:tr>
      <w:tr w14:paraId="2D46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2B6D9"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>Languages</w:t>
            </w:r>
          </w:p>
        </w:tc>
        <w:tc>
          <w:tcPr>
            <w:tcW w:w="7946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A6F15">
            <w:r>
              <w:rPr>
                <w:rFonts w:ascii="Calibri" w:hAnsi="Calibri" w:eastAsia="Calibri" w:cs="Calibri"/>
                <w:b w:val="0"/>
                <w:bCs w:val="0"/>
                <w:sz w:val="19"/>
                <w:szCs w:val="19"/>
              </w:rPr>
              <w:t>English: C2 Proficient  •  Urdu: Native  •  Pashto: Native</w:t>
            </w:r>
          </w:p>
        </w:tc>
      </w:tr>
    </w:tbl>
    <w:p w14:paraId="2E6E994F">
      <w:pPr>
        <w:pBdr>
          <w:bottom w:val="single" w:color="1F4E79" w:sz="8" w:space="4"/>
        </w:pBdr>
        <w:spacing w:before="20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LEADERSHIP, VOLUNTEERING &amp; COMMUNITY IMPACT</w:t>
      </w:r>
    </w:p>
    <w:p w14:paraId="203F8EDE">
      <w:pPr>
        <w:tabs>
          <w:tab w:val="right" w:pos="9746"/>
        </w:tabs>
        <w:spacing w:before="160" w:after="30"/>
      </w:pPr>
      <w:r>
        <w:rPr>
          <w:rFonts w:ascii="Calibri" w:hAnsi="Calibri" w:eastAsia="Calibri" w:cs="Calibri"/>
          <w:b/>
          <w:bCs/>
          <w:sz w:val="21"/>
          <w:szCs w:val="21"/>
        </w:rPr>
        <w:t>Peer Mentor &amp; Academic Tutor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  |  Iqra National University</w:t>
      </w: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ab/>
        <w:t>2022 – 2026</w:t>
      </w:r>
    </w:p>
    <w:p w14:paraId="082399C3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Mentored 20+ junior students in academic writing, AI-assisted research methodologies, and translation workshops — applying structured feedback delivery and interpersonal skills to support measurable academic improvement.</w:t>
      </w:r>
    </w:p>
    <w:p w14:paraId="446A55B7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Led peer-learning sessions on digital literacy, generative AI tools, and critical thinking, supporting the university's digital transformation agenda.</w:t>
      </w:r>
    </w:p>
    <w:p w14:paraId="388D72EE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Championed educational inclusion and cross-cultural engagement through linguistic diversity events and literary programming.</w:t>
      </w:r>
    </w:p>
    <w:p w14:paraId="097C3A26">
      <w:pPr>
        <w:pBdr>
          <w:bottom w:val="single" w:color="1F4E79" w:sz="8" w:space="4"/>
        </w:pBdr>
        <w:spacing w:before="200" w:after="60"/>
      </w:pPr>
      <w:r>
        <w:rPr>
          <w:rFonts w:ascii="Calibri" w:hAnsi="Calibri" w:eastAsia="Calibri" w:cs="Calibri"/>
          <w:b/>
          <w:bCs/>
          <w:color w:val="1F4E79"/>
          <w:sz w:val="22"/>
          <w:szCs w:val="22"/>
        </w:rPr>
        <w:t>KEY ACHIEVEMENTS</w:t>
      </w:r>
    </w:p>
    <w:p w14:paraId="26293551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Institutional recognition for outstanding leadership in public speaking and large-scale event coordination (2023, 2024).</w:t>
      </w:r>
    </w:p>
    <w:p w14:paraId="71887982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Delivered 10+ multi-university events from concept to close with zero budget overruns and 40% audience growth across 4-year tenure.</w:t>
      </w:r>
    </w:p>
    <w:p w14:paraId="00CD096F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Completed EY Technology Risk Virtual Job Simulation (June 2026) — demonstrating professional-grade risk assessment and business communication skills within a Big 4 advisory framework.</w:t>
      </w:r>
    </w:p>
    <w:p w14:paraId="1DCD1CC0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Earned 9 professional certifications in 2025–2026 spanning accounting software, TESOL, AI, risk, and project management.</w:t>
      </w:r>
    </w:p>
    <w:p w14:paraId="50ED81C7">
      <w:pPr>
        <w:pStyle w:val="16"/>
        <w:numPr>
          <w:ilvl w:val="0"/>
          <w:numId w:val="1"/>
        </w:numPr>
        <w:spacing w:before="30" w:after="30"/>
      </w:pPr>
      <w:r>
        <w:rPr>
          <w:rFonts w:ascii="Calibri" w:hAnsi="Calibri" w:eastAsia="Calibri" w:cs="Calibri"/>
          <w:sz w:val="20"/>
          <w:szCs w:val="20"/>
        </w:rPr>
        <w:t>GPA: 3.78 / 4.0 — consistent high academic performance across a 4-year degree programme.</w:t>
      </w:r>
    </w:p>
    <w:p w14:paraId="1B0E4CB4">
      <w:pPr>
        <w:spacing w:before="80"/>
      </w:pP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before="30" w:after="30"/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426A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color w:val="1A1A1A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785</Words>
  <Characters>5237</Characters>
  <TotalTime>0</TotalTime>
  <ScaleCrop>false</ScaleCrop>
  <LinksUpToDate>false</LinksUpToDate>
  <CharactersWithSpaces>6018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2026-06-09T17:49:00Z</dcterms:created>
  <dc:creator>Un-named</dc:creator>
  <cp:lastModifiedBy>ok</cp:lastModifiedBy>
  <dcterms:modified xsi:type="dcterms:W3CDTF">2026-06-09T18:06:26Z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eyJoZGlkIjoiOGI2YmM5ODlkZDk0NDg2ODA0ZGY4NjYxYzFjMWRiOGYifQ==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5B05BFAE5DE9448EB55F39889B214BFB_12</vt:lpwstr>
  </property>
</Properties>
</file>