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F429" w14:textId="2E4A29D6" w:rsidR="008918F2" w:rsidRPr="00590DFB" w:rsidRDefault="00590DFB" w:rsidP="00184603">
      <w:pPr>
        <w:pStyle w:val="Heading1"/>
        <w:pBdr>
          <w:bottom w:val="single" w:sz="12" w:space="0" w:color="56152F" w:themeColor="accent4"/>
        </w:pBdr>
        <w:jc w:val="center"/>
        <w:rPr>
          <w:rFonts w:ascii="Microsoft YaHei UI" w:hAnsi="Microsoft YaHei UI"/>
          <w:sz w:val="32"/>
          <w:szCs w:val="24"/>
        </w:rPr>
      </w:pPr>
      <w:r w:rsidRPr="00590DFB">
        <w:rPr>
          <w:rFonts w:ascii="Microsoft YaHei UI" w:hAnsi="Microsoft YaHei UI"/>
          <w:sz w:val="32"/>
          <w:szCs w:val="24"/>
        </w:rPr>
        <w:t>A</w:t>
      </w:r>
      <w:r w:rsidR="00E347A4" w:rsidRPr="00590DFB">
        <w:rPr>
          <w:rFonts w:ascii="Microsoft YaHei UI" w:hAnsi="Microsoft YaHei UI"/>
          <w:sz w:val="32"/>
          <w:szCs w:val="24"/>
        </w:rPr>
        <w:t>ssignment</w:t>
      </w:r>
      <w:r w:rsidRPr="00590DFB">
        <w:rPr>
          <w:rFonts w:ascii="Microsoft YaHei UI" w:hAnsi="Microsoft YaHei UI"/>
          <w:sz w:val="32"/>
          <w:szCs w:val="24"/>
        </w:rPr>
        <w:t xml:space="preserve"> </w:t>
      </w:r>
      <w:r w:rsidR="00737F14">
        <w:rPr>
          <w:rFonts w:ascii="Microsoft YaHei UI" w:hAnsi="Microsoft YaHei UI"/>
          <w:sz w:val="32"/>
          <w:szCs w:val="24"/>
        </w:rPr>
        <w:t>3</w:t>
      </w:r>
      <w:r w:rsidRPr="00590DFB">
        <w:rPr>
          <w:rFonts w:ascii="Microsoft YaHei UI" w:hAnsi="Microsoft YaHei UI"/>
          <w:sz w:val="32"/>
          <w:szCs w:val="24"/>
        </w:rPr>
        <w:t xml:space="preserve"> by </w:t>
      </w:r>
      <w:r w:rsidR="00530501">
        <w:rPr>
          <w:rFonts w:ascii="Microsoft YaHei UI" w:hAnsi="Microsoft YaHei UI" w:hint="eastAsia"/>
          <w:sz w:val="32"/>
          <w:szCs w:val="24"/>
        </w:rPr>
        <w:t>Group</w:t>
      </w:r>
      <w:r w:rsidR="00530501">
        <w:rPr>
          <w:rFonts w:ascii="Microsoft YaHei UI" w:hAnsi="Microsoft YaHei UI"/>
          <w:sz w:val="32"/>
          <w:szCs w:val="24"/>
        </w:rPr>
        <w:t xml:space="preserve"> 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C558EE" w:rsidRPr="00C558EE" w14:paraId="19E5D403" w14:textId="77777777" w:rsidTr="00BE0D78">
        <w:trPr>
          <w:trHeight w:val="28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BE4813D" w14:textId="00AB42FC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swap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83EF8F9" w14:textId="08810A26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cva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2E22D04" w14:textId="1506B4DB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proofErr w:type="spellStart"/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dva</w:t>
            </w:r>
            <w:proofErr w:type="spellEnd"/>
          </w:p>
        </w:tc>
      </w:tr>
      <w:tr w:rsidR="00C558EE" w:rsidRPr="00C558EE" w14:paraId="1BB8EBF0" w14:textId="77777777" w:rsidTr="00BE0D78">
        <w:trPr>
          <w:trHeight w:val="28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33D99" w14:textId="5DF72497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task 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EED80" w14:textId="3CF4E6CE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-29.3874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A15F4" w14:textId="3D5AB668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7.7588</w:t>
            </w:r>
          </w:p>
        </w:tc>
      </w:tr>
    </w:tbl>
    <w:p w14:paraId="6449BF5A" w14:textId="77777777" w:rsidR="00BE0D78" w:rsidRPr="00C558EE" w:rsidRDefault="00BE0D78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22"/>
        <w:gridCol w:w="2967"/>
        <w:gridCol w:w="2967"/>
      </w:tblGrid>
      <w:tr w:rsidR="00C558EE" w:rsidRPr="00BE0D78" w14:paraId="581728D5" w14:textId="77777777" w:rsidTr="00E553D4">
        <w:trPr>
          <w:trHeight w:val="280"/>
          <w:jc w:val="center"/>
        </w:trPr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635530E" w14:textId="41EF1D37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proofErr w:type="spellStart"/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fx</w:t>
            </w:r>
            <w:proofErr w:type="spellEnd"/>
          </w:p>
        </w:tc>
        <w:tc>
          <w:tcPr>
            <w:tcW w:w="1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6C033EC" w14:textId="0457DF1A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cva</w:t>
            </w:r>
          </w:p>
        </w:tc>
        <w:tc>
          <w:tcPr>
            <w:tcW w:w="1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694DE0B" w14:textId="1034C0BD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fca</w:t>
            </w:r>
          </w:p>
        </w:tc>
      </w:tr>
      <w:tr w:rsidR="00C558EE" w:rsidRPr="00BE0D78" w14:paraId="1A54F32C" w14:textId="77777777" w:rsidTr="00E553D4">
        <w:trPr>
          <w:trHeight w:val="280"/>
          <w:jc w:val="center"/>
        </w:trPr>
        <w:tc>
          <w:tcPr>
            <w:tcW w:w="2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68924" w14:textId="77777777" w:rsidR="00BE0D78" w:rsidRPr="00C558EE" w:rsidRDefault="00BE0D78" w:rsidP="00BE0D78">
            <w:pPr>
              <w:jc w:val="center"/>
              <w:rPr>
                <w:rFonts w:ascii="Cambria Math" w:hAnsi="Cambria Math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base (task 3)</w:t>
            </w:r>
          </w:p>
          <w:p w14:paraId="0B864F3F" w14:textId="65C32C14" w:rsidR="00D86F49" w:rsidRPr="00BE0D78" w:rsidRDefault="00D86F49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 xml:space="preserve">   </w:t>
            </w:r>
            <w:r w:rsidR="00A10A5F"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correlation</w:t>
            </w:r>
            <w:r w:rsidR="00A10A5F"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 xml:space="preserve"> : uncorrelated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CB86" w14:textId="74F38B97" w:rsidR="00BE0D78" w:rsidRPr="00BE0D78" w:rsidRDefault="00D4033F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D4033F">
              <w:rPr>
                <w:rFonts w:ascii="Cambria Math" w:hAnsi="Cambria Math"/>
                <w:color w:val="000000" w:themeColor="text1"/>
                <w:sz w:val="20"/>
                <w:szCs w:val="20"/>
              </w:rPr>
              <w:t>-0.18964</w:t>
            </w:r>
            <w:r>
              <w:rPr>
                <w:rFonts w:ascii="Cambria Math" w:hAnsi="Cambria Math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B0E4" w14:textId="2645F404" w:rsidR="00BE0D78" w:rsidRPr="00BE0D78" w:rsidRDefault="00D4033F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D4033F">
              <w:rPr>
                <w:rFonts w:ascii="Cambria Math" w:hAnsi="Cambria Math"/>
                <w:color w:val="000000" w:themeColor="text1"/>
                <w:sz w:val="20"/>
                <w:szCs w:val="20"/>
              </w:rPr>
              <w:t>-0.010910</w:t>
            </w:r>
          </w:p>
        </w:tc>
      </w:tr>
      <w:tr w:rsidR="00C558EE" w:rsidRPr="00BE0D78" w14:paraId="3C7007ED" w14:textId="77777777" w:rsidTr="00E553D4">
        <w:trPr>
          <w:trHeight w:val="280"/>
          <w:jc w:val="center"/>
        </w:trPr>
        <w:tc>
          <w:tcPr>
            <w:tcW w:w="2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19861" w14:textId="290D0DBA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proofErr w:type="spellStart"/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fx</w:t>
            </w:r>
            <w:proofErr w:type="spellEnd"/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 xml:space="preserve"> vol from 0.1 to 0.15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A054" w14:textId="03BAF2D1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-0.331930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6E3" w14:textId="06270DDC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-0.018805</w:t>
            </w:r>
          </w:p>
        </w:tc>
      </w:tr>
      <w:tr w:rsidR="00C558EE" w:rsidRPr="00BE0D78" w14:paraId="02561EF2" w14:textId="77777777" w:rsidTr="00E553D4">
        <w:trPr>
          <w:trHeight w:val="280"/>
          <w:jc w:val="center"/>
        </w:trPr>
        <w:tc>
          <w:tcPr>
            <w:tcW w:w="2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CDF92" w14:textId="769E7772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proofErr w:type="spellStart"/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dom</w:t>
            </w:r>
            <w:proofErr w:type="spellEnd"/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 xml:space="preserve"> HW vol from 0.01 to 0.015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C107" w14:textId="00E3E25F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-0.191155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ECFA" w14:textId="182AFEA2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-0.011058</w:t>
            </w:r>
          </w:p>
        </w:tc>
      </w:tr>
      <w:tr w:rsidR="00C558EE" w:rsidRPr="00BE0D78" w14:paraId="3E0C6201" w14:textId="77777777" w:rsidTr="00E553D4">
        <w:trPr>
          <w:trHeight w:val="280"/>
          <w:jc w:val="center"/>
        </w:trPr>
        <w:tc>
          <w:tcPr>
            <w:tcW w:w="2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DE183" w14:textId="498D6E2E" w:rsidR="00BE0D78" w:rsidRPr="00BE0D78" w:rsidRDefault="00BE0D78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for HW vol from 0.01 to 0.015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2FE5" w14:textId="52E0EC7B" w:rsidR="00BE0D78" w:rsidRPr="00BE0D78" w:rsidRDefault="00A10A5F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-0.190632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0B62" w14:textId="1E206546" w:rsidR="00BE0D78" w:rsidRPr="00BE0D78" w:rsidRDefault="00524175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</w:t>
            </w:r>
            <w:r w:rsidR="00A10A5F"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0.011026</w:t>
            </w:r>
          </w:p>
        </w:tc>
      </w:tr>
      <w:tr w:rsidR="00C558EE" w:rsidRPr="00BE0D78" w14:paraId="69C595A8" w14:textId="77777777" w:rsidTr="00E553D4">
        <w:trPr>
          <w:trHeight w:val="280"/>
          <w:jc w:val="center"/>
        </w:trPr>
        <w:tc>
          <w:tcPr>
            <w:tcW w:w="2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04063" w14:textId="77777777" w:rsidR="00BE0D78" w:rsidRPr="00C558EE" w:rsidRDefault="00BE0D78" w:rsidP="00BE0D78">
            <w:pPr>
              <w:jc w:val="center"/>
              <w:rPr>
                <w:rFonts w:ascii="Cambria Math" w:hAnsi="Cambria Math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correlation matrix 1</w:t>
            </w:r>
          </w:p>
          <w:p w14:paraId="7C188B10" w14:textId="1DC557D8" w:rsidR="00A10A5F" w:rsidRPr="00BE0D78" w:rsidRDefault="00000000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dom,for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 w:themeColor="text1"/>
                    <w:sz w:val="20"/>
                    <w:szCs w:val="20"/>
                  </w:rPr>
                  <m:t xml:space="preserve">=0.5        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dom,fx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 w:themeColor="text1"/>
                    <w:sz w:val="20"/>
                    <w:szCs w:val="20"/>
                  </w:rPr>
                  <m:t xml:space="preserve">=-0.5      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for,fx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 w:themeColor="text1"/>
                    <w:sz w:val="20"/>
                    <w:szCs w:val="20"/>
                  </w:rPr>
                  <m:t xml:space="preserve">=0.5 </m:t>
                </m:r>
              </m:oMath>
            </m:oMathPara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E8AF" w14:textId="7D2801D4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-0.157979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75C9" w14:textId="2FCA077C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-0.008588</w:t>
            </w:r>
          </w:p>
        </w:tc>
      </w:tr>
      <w:tr w:rsidR="00C558EE" w:rsidRPr="00BE0D78" w14:paraId="59C50D9C" w14:textId="77777777" w:rsidTr="00E553D4">
        <w:trPr>
          <w:trHeight w:val="280"/>
          <w:jc w:val="center"/>
        </w:trPr>
        <w:tc>
          <w:tcPr>
            <w:tcW w:w="2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A0F2" w14:textId="77777777" w:rsidR="00BE0D78" w:rsidRPr="00C558EE" w:rsidRDefault="00524175" w:rsidP="00BE0D78">
            <w:pPr>
              <w:jc w:val="center"/>
              <w:rPr>
                <w:rFonts w:ascii="Cambria Math" w:hAnsi="Cambria Math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hAnsi="Cambria Math"/>
                <w:color w:val="000000" w:themeColor="text1"/>
                <w:sz w:val="20"/>
                <w:szCs w:val="20"/>
              </w:rPr>
              <w:t>correlation matrix 2</w:t>
            </w:r>
          </w:p>
          <w:p w14:paraId="5C0B2EC3" w14:textId="5C9C97F0" w:rsidR="00C12D21" w:rsidRPr="00BE0D78" w:rsidRDefault="00000000" w:rsidP="00BE0D78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dom,for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 w:themeColor="text1"/>
                    <w:sz w:val="20"/>
                    <w:szCs w:val="20"/>
                  </w:rPr>
                  <m:t xml:space="preserve">=-0.5       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dom,fx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 w:themeColor="text1"/>
                    <w:sz w:val="20"/>
                    <w:szCs w:val="20"/>
                  </w:rPr>
                  <m:t xml:space="preserve">=0.5      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 w:themeColor="text1"/>
                        <w:sz w:val="20"/>
                        <w:szCs w:val="20"/>
                      </w:rPr>
                      <m:t>for,fx</m:t>
                    </m:r>
                  </m:sub>
                </m:sSub>
                <m:r>
                  <w:rPr>
                    <w:rFonts w:ascii="Cambria Math" w:eastAsia="等线" w:hAnsi="Cambria Math" w:cs="宋体"/>
                    <w:color w:val="000000" w:themeColor="text1"/>
                    <w:sz w:val="20"/>
                    <w:szCs w:val="20"/>
                  </w:rPr>
                  <m:t>=-0.5</m:t>
                </m:r>
              </m:oMath>
            </m:oMathPara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DBC9" w14:textId="73C6B7D5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-0.195099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8BE8" w14:textId="3601176E" w:rsidR="00BE0D78" w:rsidRPr="00BE0D78" w:rsidRDefault="00D86F49" w:rsidP="00E553D4">
            <w:pPr>
              <w:jc w:val="center"/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</w:pPr>
            <w:r w:rsidRPr="00C558EE">
              <w:rPr>
                <w:rFonts w:ascii="Cambria Math" w:eastAsia="等线" w:hAnsi="Cambria Math" w:cs="宋体"/>
                <w:color w:val="000000" w:themeColor="text1"/>
                <w:sz w:val="20"/>
                <w:szCs w:val="20"/>
              </w:rPr>
              <w:t>-0.011722</w:t>
            </w:r>
          </w:p>
        </w:tc>
      </w:tr>
    </w:tbl>
    <w:p w14:paraId="26F8A939" w14:textId="77777777" w:rsidR="00BE0D78" w:rsidRPr="00C558EE" w:rsidRDefault="00BE0D78" w:rsidP="00524175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0"/>
          <w:szCs w:val="20"/>
        </w:rPr>
      </w:pPr>
    </w:p>
    <w:p w14:paraId="6AC179EA" w14:textId="3468C1BF" w:rsidR="00737F14" w:rsidRDefault="00613BF3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Q1: </w:t>
      </w:r>
      <w:r w:rsidR="00EF3042"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Compare and discuss the impact of FX vol vs IR vol (task 4) to CVA</w:t>
      </w:r>
    </w:p>
    <w:p w14:paraId="76F44E23" w14:textId="77777777" w:rsidR="00454626" w:rsidRDefault="00454626" w:rsidP="0045462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>S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olution:</w:t>
      </w:r>
    </w:p>
    <w:p w14:paraId="6621C638" w14:textId="2602E14C" w:rsidR="003D5A88" w:rsidRPr="00C558EE" w:rsidRDefault="003D5A88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>An increase in the volatility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of FX rates, domestic interest rates, and foreign interest rates </w:t>
      </w:r>
      <w:r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>leads to a rise in the absolute values of both Credit Valuation Adjustment (CVA) and Funding Cost Adjustment (FCA)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.</w:t>
      </w:r>
    </w:p>
    <w:p w14:paraId="6F1F2074" w14:textId="16C030EE" w:rsidR="00EF3042" w:rsidRDefault="003D5A88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However, </w:t>
      </w:r>
      <w:r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>the impact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on CVA and FCA resulting </w:t>
      </w:r>
      <w:r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>from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changes in </w:t>
      </w:r>
      <w:r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>FX volatility is more pronounced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compared to the changes stemming from alterations in interest rate volatilities.</w:t>
      </w:r>
    </w:p>
    <w:p w14:paraId="62CFC0B8" w14:textId="77777777" w:rsidR="004277EC" w:rsidRDefault="004277EC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</w:p>
    <w:p w14:paraId="24E526DD" w14:textId="77777777" w:rsidR="004277EC" w:rsidRPr="00C558EE" w:rsidRDefault="004277EC" w:rsidP="004277EC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>T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he reason can be explained by the formula below:</w:t>
      </w:r>
    </w:p>
    <w:p w14:paraId="0610AB4E" w14:textId="77777777" w:rsidR="004277EC" w:rsidRPr="00C558EE" w:rsidRDefault="004277EC" w:rsidP="004277EC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df=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dS+Kτ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d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-Sτ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f</m:t>
              </m:r>
            </m:sub>
          </m:sSub>
        </m:oMath>
      </m:oMathPara>
    </w:p>
    <w:p w14:paraId="11A0A3BB" w14:textId="5BCFFD6A" w:rsidR="00FE7C35" w:rsidRPr="00FE7C35" w:rsidRDefault="00FE7C35" w:rsidP="00FE7C35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From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the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formula, we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find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that an increase in the volatility of FX rates, domestic interest rates, or foreign interest rates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will result in a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larger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volatility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of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df</m:t>
        </m:r>
      </m:oMath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. This heightened volatility in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df</m:t>
        </m:r>
      </m:oMath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consequently increases Expected Discounted Positive Exposure (EDPE), thereby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increasing 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both Credit Valuation Adjustment (CVA) and Funding Cost Adjustment (FCA).</w:t>
      </w:r>
    </w:p>
    <w:p w14:paraId="1FC01CCC" w14:textId="70A31DE2" w:rsidR="004277EC" w:rsidRDefault="00FE7C35" w:rsidP="00FE7C35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Moreover, the volatility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of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FX rates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is 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significantly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larger than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that of domestic and foreign interest rates. This disparity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results in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a larger</w:t>
      </w:r>
      <w:r w:rsidRPr="00FE7C35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impact of FX volatility changes on CVA and FCA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.</w:t>
      </w:r>
    </w:p>
    <w:p w14:paraId="78496A4B" w14:textId="77777777" w:rsidR="00FE7C35" w:rsidRDefault="00FE7C35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</w:p>
    <w:p w14:paraId="79AF688F" w14:textId="77777777" w:rsidR="00FE7C35" w:rsidRPr="004277EC" w:rsidRDefault="00FE7C35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</w:p>
    <w:p w14:paraId="0F2A9977" w14:textId="31DD7F73" w:rsidR="00EF3042" w:rsidRDefault="00613BF3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Q2: </w:t>
      </w:r>
      <w:r w:rsidR="00EF3042"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Discuss the impact of risk factor correlation to CVA</w:t>
      </w:r>
    </w:p>
    <w:p w14:paraId="28AE7E59" w14:textId="3752161F" w:rsidR="00454626" w:rsidRDefault="00454626" w:rsidP="000F36A6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>S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olution:</w:t>
      </w:r>
    </w:p>
    <w:p w14:paraId="7324D392" w14:textId="16F6E962" w:rsidR="003D5A88" w:rsidRPr="00C558EE" w:rsidRDefault="003D5A88" w:rsidP="003D5A88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An increase in </w:t>
      </w:r>
      <w:r w:rsidR="0055492B"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the correlation</w:t>
      </w:r>
      <w:r w:rsidR="0055492B"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 xml:space="preserve"> between </w:t>
      </w:r>
      <w:r w:rsidR="00613BF3"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 xml:space="preserve">foreign interest rates and </w:t>
      </w:r>
      <w:r w:rsidR="0055492B"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 xml:space="preserve">domestic interest rates </w:t>
      </w:r>
      <w:r w:rsidR="00613BF3"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>decrease</w:t>
      </w:r>
      <w:r w:rsidR="0055492B"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the </w:t>
      </w:r>
      <w:r w:rsidR="00613BF3"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absolute values of both Credit Valuation Adjustment (CVA) and Funding Cost Adjustment (FCA).</w:t>
      </w:r>
    </w:p>
    <w:p w14:paraId="16817128" w14:textId="49647733" w:rsidR="00613BF3" w:rsidRPr="00C558EE" w:rsidRDefault="00613BF3" w:rsidP="00613BF3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An increase in the correlation</w:t>
      </w:r>
      <w:r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 xml:space="preserve"> between foreign interest rates and FX rates decrease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the absolute values of both Credit Valuation Adjustment (CVA) and Funding Cost Adjustment (FCA).</w:t>
      </w:r>
    </w:p>
    <w:p w14:paraId="0FA42C58" w14:textId="5B74BD67" w:rsidR="00613BF3" w:rsidRDefault="00613BF3" w:rsidP="00613BF3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An increase in the correlation</w:t>
      </w:r>
      <w:r w:rsidRPr="00C558EE">
        <w:rPr>
          <w:rFonts w:ascii="Cambria Math" w:eastAsiaTheme="minorEastAsia" w:hAnsi="Cambria Math" w:cstheme="minorHAnsi"/>
          <w:b/>
          <w:bCs/>
          <w:iCs/>
          <w:color w:val="000000" w:themeColor="text1"/>
          <w:sz w:val="21"/>
          <w:szCs w:val="21"/>
        </w:rPr>
        <w:t xml:space="preserve"> between domestic interest rates and FX rates increase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the absolute values of both Credit Valuation Adjustment (CVA) and Funding Cost Adjustment (FCA).</w:t>
      </w:r>
    </w:p>
    <w:p w14:paraId="008886AB" w14:textId="77777777" w:rsidR="00C558EE" w:rsidRPr="00C558EE" w:rsidRDefault="00C558EE" w:rsidP="00613BF3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</w:p>
    <w:p w14:paraId="2B8C5B4F" w14:textId="7D965DB1" w:rsidR="00613BF3" w:rsidRPr="00C558EE" w:rsidRDefault="00613BF3" w:rsidP="00613BF3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w:r w:rsidRPr="00C558EE"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>T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he reason </w:t>
      </w:r>
      <w:r w:rsidR="00C558EE"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can be explained by the formula below</w:t>
      </w:r>
      <w:r w:rsidRPr="00C558EE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:</w:t>
      </w:r>
    </w:p>
    <w:p w14:paraId="665F8CED" w14:textId="0EF3196F" w:rsidR="00613BF3" w:rsidRPr="00C558EE" w:rsidRDefault="00613BF3" w:rsidP="00613BF3">
      <w:pPr>
        <w:spacing w:line="300" w:lineRule="auto"/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df=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dS+Kτ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d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-Sτ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1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1"/>
              <w:szCs w:val="21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1"/>
                  <w:szCs w:val="21"/>
                </w:rPr>
                <m:t>f</m:t>
              </m:r>
            </m:sub>
          </m:sSub>
        </m:oMath>
      </m:oMathPara>
    </w:p>
    <w:p w14:paraId="3E1BF8D7" w14:textId="22D5526A" w:rsidR="00C558EE" w:rsidRPr="00613BF3" w:rsidRDefault="00C558EE" w:rsidP="00C558EE">
      <w:pPr>
        <w:spacing w:line="300" w:lineRule="auto"/>
        <w:rPr>
          <w:rFonts w:ascii="Cambria Math" w:eastAsiaTheme="minorEastAsia" w:hAnsi="Cambria Math" w:cstheme="minorHAnsi"/>
          <w:iCs/>
          <w:sz w:val="21"/>
          <w:szCs w:val="21"/>
        </w:rPr>
      </w:pPr>
      <w:r>
        <w:rPr>
          <w:rFonts w:ascii="Cambria Math" w:eastAsiaTheme="minorEastAsia" w:hAnsi="Cambria Math" w:cstheme="minorHAnsi" w:hint="eastAsia"/>
          <w:iCs/>
          <w:sz w:val="21"/>
          <w:szCs w:val="21"/>
        </w:rPr>
        <w:t>S</w:t>
      </w:r>
      <w:r>
        <w:rPr>
          <w:rFonts w:ascii="Cambria Math" w:eastAsiaTheme="minorEastAsia" w:hAnsi="Cambria Math" w:cstheme="minorHAnsi"/>
          <w:iCs/>
          <w:sz w:val="21"/>
          <w:szCs w:val="21"/>
        </w:rPr>
        <w:t xml:space="preserve">ince the coefficient of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dS</m:t>
        </m:r>
      </m:oMath>
      <w:r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 xml:space="preserve">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and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1"/>
                <w:szCs w:val="21"/>
              </w:rPr>
              <m:t>d</m:t>
            </m:r>
          </m:sub>
        </m:sSub>
      </m:oMath>
      <w:r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 xml:space="preserve">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is the same, an increase in the correlation will result in a higher volatility of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df</m:t>
        </m:r>
      </m:oMath>
      <w:r w:rsidR="00A86A40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, which results in higher EDPE.</w:t>
      </w:r>
    </w:p>
    <w:p w14:paraId="0361B690" w14:textId="7017705C" w:rsidR="00EF3042" w:rsidRPr="0058611E" w:rsidRDefault="00C558EE" w:rsidP="000F36A6">
      <w:pPr>
        <w:spacing w:line="300" w:lineRule="auto"/>
        <w:rPr>
          <w:rFonts w:ascii="Cambria Math" w:eastAsiaTheme="minorEastAsia" w:hAnsi="Cambria Math" w:cstheme="minorHAnsi"/>
          <w:iCs/>
          <w:sz w:val="21"/>
          <w:szCs w:val="21"/>
        </w:rPr>
      </w:pPr>
      <w:r>
        <w:rPr>
          <w:rFonts w:ascii="Cambria Math" w:eastAsiaTheme="minorEastAsia" w:hAnsi="Cambria Math" w:cstheme="minorHAnsi"/>
          <w:iCs/>
          <w:sz w:val="21"/>
          <w:szCs w:val="21"/>
        </w:rPr>
        <w:t xml:space="preserve">However, the coefficient of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1"/>
                <w:szCs w:val="21"/>
              </w:rPr>
              <m:t>f</m:t>
            </m:r>
          </m:sub>
        </m:sSub>
      </m:oMath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is different from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dS</m:t>
        </m:r>
      </m:oMath>
      <w:r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 xml:space="preserve"> 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and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1"/>
                <w:szCs w:val="21"/>
              </w:rPr>
              <m:t>d</m:t>
            </m:r>
          </m:sub>
        </m:sSub>
      </m:oMath>
      <w:r>
        <w:rPr>
          <w:rFonts w:ascii="Cambria Math" w:eastAsiaTheme="minorEastAsia" w:hAnsi="Cambria Math" w:cstheme="minorHAnsi" w:hint="eastAsia"/>
          <w:iCs/>
          <w:color w:val="000000" w:themeColor="text1"/>
          <w:sz w:val="21"/>
          <w:szCs w:val="21"/>
        </w:rPr>
        <w:t>,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 so an increase in the correlation will result in a lower volatility of </w:t>
      </w:r>
      <m:oMath>
        <m:r>
          <w:rPr>
            <w:rFonts w:ascii="Cambria Math" w:eastAsiaTheme="minorEastAsia" w:hAnsi="Cambria Math" w:cstheme="minorHAnsi"/>
            <w:color w:val="000000" w:themeColor="text1"/>
            <w:sz w:val="21"/>
            <w:szCs w:val="21"/>
          </w:rPr>
          <m:t>df</m:t>
        </m:r>
      </m:oMath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 xml:space="preserve">, which results in </w:t>
      </w:r>
      <w:r w:rsidR="00A86A40"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low</w:t>
      </w:r>
      <w:r>
        <w:rPr>
          <w:rFonts w:ascii="Cambria Math" w:eastAsiaTheme="minorEastAsia" w:hAnsi="Cambria Math" w:cstheme="minorHAnsi"/>
          <w:iCs/>
          <w:color w:val="000000" w:themeColor="text1"/>
          <w:sz w:val="21"/>
          <w:szCs w:val="21"/>
        </w:rPr>
        <w:t>er EDPE.</w:t>
      </w:r>
    </w:p>
    <w:sectPr w:rsidR="00EF3042" w:rsidRPr="0058611E" w:rsidSect="00B35733">
      <w:footerReference w:type="default" r:id="rId7"/>
      <w:pgSz w:w="11906" w:h="16838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EB9A" w14:textId="77777777" w:rsidR="00B35733" w:rsidRDefault="00B35733">
      <w:r>
        <w:separator/>
      </w:r>
    </w:p>
    <w:p w14:paraId="05816E35" w14:textId="77777777" w:rsidR="00B35733" w:rsidRDefault="00B35733"/>
  </w:endnote>
  <w:endnote w:type="continuationSeparator" w:id="0">
    <w:p w14:paraId="73ADB6EC" w14:textId="77777777" w:rsidR="00B35733" w:rsidRDefault="00B35733">
      <w:r>
        <w:continuationSeparator/>
      </w:r>
    </w:p>
    <w:p w14:paraId="6A4F7DF5" w14:textId="77777777" w:rsidR="00B35733" w:rsidRDefault="00B35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00726" w14:textId="77777777" w:rsidR="008918F2" w:rsidRDefault="00E34FED">
        <w:pPr>
          <w:pStyle w:val="Footer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4C57">
          <w:rPr>
            <w:noProof/>
            <w:lang w:val="zh-CN" w:bidi="zh-CN"/>
          </w:rPr>
          <w:t>0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351B" w14:textId="77777777" w:rsidR="00B35733" w:rsidRDefault="00B35733">
      <w:r>
        <w:separator/>
      </w:r>
    </w:p>
    <w:p w14:paraId="3D6E077A" w14:textId="77777777" w:rsidR="00B35733" w:rsidRDefault="00B35733"/>
  </w:footnote>
  <w:footnote w:type="continuationSeparator" w:id="0">
    <w:p w14:paraId="454760B2" w14:textId="77777777" w:rsidR="00B35733" w:rsidRDefault="00B35733">
      <w:r>
        <w:continuationSeparator/>
      </w:r>
    </w:p>
    <w:p w14:paraId="5E55587D" w14:textId="77777777" w:rsidR="00B35733" w:rsidRDefault="00B357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01">
    <w:abstractNumId w:val="2"/>
  </w:num>
  <w:num w:numId="2" w16cid:durableId="1818306284">
    <w:abstractNumId w:val="1"/>
  </w:num>
  <w:num w:numId="3" w16cid:durableId="1124083939">
    <w:abstractNumId w:val="3"/>
  </w:num>
  <w:num w:numId="4" w16cid:durableId="291908572">
    <w:abstractNumId w:val="4"/>
  </w:num>
  <w:num w:numId="5" w16cid:durableId="20859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A4"/>
    <w:rsid w:val="0000146D"/>
    <w:rsid w:val="00002E06"/>
    <w:rsid w:val="0001549F"/>
    <w:rsid w:val="00017763"/>
    <w:rsid w:val="00020CDF"/>
    <w:rsid w:val="00022496"/>
    <w:rsid w:val="0002251A"/>
    <w:rsid w:val="0002290F"/>
    <w:rsid w:val="0002330A"/>
    <w:rsid w:val="000400BE"/>
    <w:rsid w:val="0004068E"/>
    <w:rsid w:val="00050BCB"/>
    <w:rsid w:val="00051E66"/>
    <w:rsid w:val="00060F0A"/>
    <w:rsid w:val="00067E0E"/>
    <w:rsid w:val="00072355"/>
    <w:rsid w:val="00072D72"/>
    <w:rsid w:val="000736B7"/>
    <w:rsid w:val="00074E85"/>
    <w:rsid w:val="000810B3"/>
    <w:rsid w:val="00087DF3"/>
    <w:rsid w:val="000908A9"/>
    <w:rsid w:val="0009097C"/>
    <w:rsid w:val="000918D6"/>
    <w:rsid w:val="00094E36"/>
    <w:rsid w:val="000A1D5C"/>
    <w:rsid w:val="000A3512"/>
    <w:rsid w:val="000A4B73"/>
    <w:rsid w:val="000A6694"/>
    <w:rsid w:val="000A6D1F"/>
    <w:rsid w:val="000B15D0"/>
    <w:rsid w:val="000D1518"/>
    <w:rsid w:val="000E0E7F"/>
    <w:rsid w:val="000E5223"/>
    <w:rsid w:val="000F2D06"/>
    <w:rsid w:val="000F36A6"/>
    <w:rsid w:val="000F57D8"/>
    <w:rsid w:val="000F76C5"/>
    <w:rsid w:val="00101CE6"/>
    <w:rsid w:val="00105771"/>
    <w:rsid w:val="00120AAF"/>
    <w:rsid w:val="00132969"/>
    <w:rsid w:val="001351AF"/>
    <w:rsid w:val="0013526D"/>
    <w:rsid w:val="00135A7B"/>
    <w:rsid w:val="00140693"/>
    <w:rsid w:val="00141B6E"/>
    <w:rsid w:val="001421C8"/>
    <w:rsid w:val="00142618"/>
    <w:rsid w:val="00154A29"/>
    <w:rsid w:val="00162B4E"/>
    <w:rsid w:val="0016762A"/>
    <w:rsid w:val="00172A4F"/>
    <w:rsid w:val="0017630E"/>
    <w:rsid w:val="00184603"/>
    <w:rsid w:val="00184CDE"/>
    <w:rsid w:val="00192BDE"/>
    <w:rsid w:val="0019320A"/>
    <w:rsid w:val="001937E3"/>
    <w:rsid w:val="001A1005"/>
    <w:rsid w:val="001A2E18"/>
    <w:rsid w:val="001A679D"/>
    <w:rsid w:val="001B1D98"/>
    <w:rsid w:val="001B4221"/>
    <w:rsid w:val="001B4E7C"/>
    <w:rsid w:val="001C0BE3"/>
    <w:rsid w:val="001C2BF6"/>
    <w:rsid w:val="001D3A4E"/>
    <w:rsid w:val="001D6D37"/>
    <w:rsid w:val="001E48B9"/>
    <w:rsid w:val="001E4CDE"/>
    <w:rsid w:val="001F0C47"/>
    <w:rsid w:val="001F0CCA"/>
    <w:rsid w:val="001F3E97"/>
    <w:rsid w:val="001F51E3"/>
    <w:rsid w:val="001F5D83"/>
    <w:rsid w:val="002018B8"/>
    <w:rsid w:val="0020393C"/>
    <w:rsid w:val="002169F9"/>
    <w:rsid w:val="00222578"/>
    <w:rsid w:val="00222AEB"/>
    <w:rsid w:val="00223BCD"/>
    <w:rsid w:val="00240DA7"/>
    <w:rsid w:val="0024446C"/>
    <w:rsid w:val="002633D5"/>
    <w:rsid w:val="00265D15"/>
    <w:rsid w:val="00273832"/>
    <w:rsid w:val="002829CA"/>
    <w:rsid w:val="00285D7B"/>
    <w:rsid w:val="00295437"/>
    <w:rsid w:val="002A4053"/>
    <w:rsid w:val="002B3810"/>
    <w:rsid w:val="002B44E1"/>
    <w:rsid w:val="002B593D"/>
    <w:rsid w:val="002B6B7A"/>
    <w:rsid w:val="002C2958"/>
    <w:rsid w:val="002C331C"/>
    <w:rsid w:val="002C3BB6"/>
    <w:rsid w:val="002C3BED"/>
    <w:rsid w:val="002C69A4"/>
    <w:rsid w:val="002D2E31"/>
    <w:rsid w:val="002D7CFC"/>
    <w:rsid w:val="002E0544"/>
    <w:rsid w:val="002E7878"/>
    <w:rsid w:val="002F253A"/>
    <w:rsid w:val="002F3A8C"/>
    <w:rsid w:val="002F422B"/>
    <w:rsid w:val="002F4CF2"/>
    <w:rsid w:val="003028AE"/>
    <w:rsid w:val="00305E1D"/>
    <w:rsid w:val="00321007"/>
    <w:rsid w:val="0032302C"/>
    <w:rsid w:val="003279CB"/>
    <w:rsid w:val="00330FE2"/>
    <w:rsid w:val="00333074"/>
    <w:rsid w:val="00340045"/>
    <w:rsid w:val="00341FFC"/>
    <w:rsid w:val="00344E75"/>
    <w:rsid w:val="00351BB6"/>
    <w:rsid w:val="00351C84"/>
    <w:rsid w:val="00352F89"/>
    <w:rsid w:val="003615DB"/>
    <w:rsid w:val="00362868"/>
    <w:rsid w:val="00365095"/>
    <w:rsid w:val="0036626F"/>
    <w:rsid w:val="00366AA2"/>
    <w:rsid w:val="00372E90"/>
    <w:rsid w:val="00373AD8"/>
    <w:rsid w:val="00380ADA"/>
    <w:rsid w:val="00383476"/>
    <w:rsid w:val="00384C4B"/>
    <w:rsid w:val="003A26BC"/>
    <w:rsid w:val="003A2842"/>
    <w:rsid w:val="003A3538"/>
    <w:rsid w:val="003A7AAF"/>
    <w:rsid w:val="003B073C"/>
    <w:rsid w:val="003B260F"/>
    <w:rsid w:val="003B4054"/>
    <w:rsid w:val="003D1619"/>
    <w:rsid w:val="003D5A88"/>
    <w:rsid w:val="003E0FF0"/>
    <w:rsid w:val="003E3B03"/>
    <w:rsid w:val="003F615A"/>
    <w:rsid w:val="003F683A"/>
    <w:rsid w:val="0040365C"/>
    <w:rsid w:val="00403D24"/>
    <w:rsid w:val="00407DDB"/>
    <w:rsid w:val="00414808"/>
    <w:rsid w:val="00416881"/>
    <w:rsid w:val="004177F8"/>
    <w:rsid w:val="00425F0D"/>
    <w:rsid w:val="004277EC"/>
    <w:rsid w:val="004322E4"/>
    <w:rsid w:val="00433836"/>
    <w:rsid w:val="00434147"/>
    <w:rsid w:val="004346F7"/>
    <w:rsid w:val="00435A37"/>
    <w:rsid w:val="00440C79"/>
    <w:rsid w:val="004431F0"/>
    <w:rsid w:val="00443932"/>
    <w:rsid w:val="00454626"/>
    <w:rsid w:val="00464733"/>
    <w:rsid w:val="004660A3"/>
    <w:rsid w:val="00467017"/>
    <w:rsid w:val="004673B7"/>
    <w:rsid w:val="00470D74"/>
    <w:rsid w:val="004778DA"/>
    <w:rsid w:val="0047797B"/>
    <w:rsid w:val="00481977"/>
    <w:rsid w:val="004C6C98"/>
    <w:rsid w:val="004C731A"/>
    <w:rsid w:val="004D1A06"/>
    <w:rsid w:val="004E44DF"/>
    <w:rsid w:val="004E4715"/>
    <w:rsid w:val="004E5EB0"/>
    <w:rsid w:val="004E7614"/>
    <w:rsid w:val="004F7378"/>
    <w:rsid w:val="00502368"/>
    <w:rsid w:val="00503E5F"/>
    <w:rsid w:val="00504A9C"/>
    <w:rsid w:val="005103FE"/>
    <w:rsid w:val="00510EC2"/>
    <w:rsid w:val="00524175"/>
    <w:rsid w:val="005259F7"/>
    <w:rsid w:val="00527B8D"/>
    <w:rsid w:val="00530501"/>
    <w:rsid w:val="005307F6"/>
    <w:rsid w:val="00545B79"/>
    <w:rsid w:val="00551362"/>
    <w:rsid w:val="00552635"/>
    <w:rsid w:val="0055473F"/>
    <w:rsid w:val="0055492B"/>
    <w:rsid w:val="00554970"/>
    <w:rsid w:val="005617A9"/>
    <w:rsid w:val="00561801"/>
    <w:rsid w:val="005679FA"/>
    <w:rsid w:val="005710BC"/>
    <w:rsid w:val="00580DBD"/>
    <w:rsid w:val="0058611E"/>
    <w:rsid w:val="00586662"/>
    <w:rsid w:val="00590DFB"/>
    <w:rsid w:val="00593A9A"/>
    <w:rsid w:val="00597A32"/>
    <w:rsid w:val="005A4366"/>
    <w:rsid w:val="005A5211"/>
    <w:rsid w:val="005A5A39"/>
    <w:rsid w:val="005A6800"/>
    <w:rsid w:val="005B1436"/>
    <w:rsid w:val="005B499B"/>
    <w:rsid w:val="005B5183"/>
    <w:rsid w:val="005B7B72"/>
    <w:rsid w:val="005C20EE"/>
    <w:rsid w:val="005C4A6E"/>
    <w:rsid w:val="005C5298"/>
    <w:rsid w:val="005C5983"/>
    <w:rsid w:val="005C5D49"/>
    <w:rsid w:val="005D0637"/>
    <w:rsid w:val="005D36B7"/>
    <w:rsid w:val="005D42E7"/>
    <w:rsid w:val="005D53BC"/>
    <w:rsid w:val="005E70F8"/>
    <w:rsid w:val="005F03F3"/>
    <w:rsid w:val="005F3CAB"/>
    <w:rsid w:val="00602B80"/>
    <w:rsid w:val="006066C4"/>
    <w:rsid w:val="00613BF3"/>
    <w:rsid w:val="00613C2F"/>
    <w:rsid w:val="0061605D"/>
    <w:rsid w:val="00616C9E"/>
    <w:rsid w:val="00621EEF"/>
    <w:rsid w:val="00624918"/>
    <w:rsid w:val="00630E36"/>
    <w:rsid w:val="0063585A"/>
    <w:rsid w:val="00644CC1"/>
    <w:rsid w:val="006508F1"/>
    <w:rsid w:val="006516FF"/>
    <w:rsid w:val="00653371"/>
    <w:rsid w:val="00656055"/>
    <w:rsid w:val="006603C7"/>
    <w:rsid w:val="006605F3"/>
    <w:rsid w:val="00664C57"/>
    <w:rsid w:val="006744BF"/>
    <w:rsid w:val="0068271B"/>
    <w:rsid w:val="00685635"/>
    <w:rsid w:val="00696629"/>
    <w:rsid w:val="006A007E"/>
    <w:rsid w:val="006A529D"/>
    <w:rsid w:val="006C5A93"/>
    <w:rsid w:val="006C70B6"/>
    <w:rsid w:val="006E5A86"/>
    <w:rsid w:val="006F2F4B"/>
    <w:rsid w:val="006F3E41"/>
    <w:rsid w:val="006F5E27"/>
    <w:rsid w:val="006F7EAC"/>
    <w:rsid w:val="0070059C"/>
    <w:rsid w:val="00701D43"/>
    <w:rsid w:val="0070343C"/>
    <w:rsid w:val="0070701E"/>
    <w:rsid w:val="00713AFA"/>
    <w:rsid w:val="00713E5A"/>
    <w:rsid w:val="00713FCA"/>
    <w:rsid w:val="0071403C"/>
    <w:rsid w:val="0072236F"/>
    <w:rsid w:val="0072264B"/>
    <w:rsid w:val="007250E0"/>
    <w:rsid w:val="00732A86"/>
    <w:rsid w:val="00737F14"/>
    <w:rsid w:val="00743F98"/>
    <w:rsid w:val="0074410F"/>
    <w:rsid w:val="00747E09"/>
    <w:rsid w:val="0075018A"/>
    <w:rsid w:val="00757594"/>
    <w:rsid w:val="00757D57"/>
    <w:rsid w:val="0076444F"/>
    <w:rsid w:val="00777381"/>
    <w:rsid w:val="00782567"/>
    <w:rsid w:val="007926C9"/>
    <w:rsid w:val="007A73FF"/>
    <w:rsid w:val="007A7EDD"/>
    <w:rsid w:val="007B01B2"/>
    <w:rsid w:val="007B17C3"/>
    <w:rsid w:val="007B3866"/>
    <w:rsid w:val="007B410F"/>
    <w:rsid w:val="007B5E9D"/>
    <w:rsid w:val="007C7F06"/>
    <w:rsid w:val="007D0254"/>
    <w:rsid w:val="007D2E25"/>
    <w:rsid w:val="007D32F5"/>
    <w:rsid w:val="007D4E2E"/>
    <w:rsid w:val="007D519A"/>
    <w:rsid w:val="007E4A5D"/>
    <w:rsid w:val="007E70D5"/>
    <w:rsid w:val="007E7CE0"/>
    <w:rsid w:val="007E7D5B"/>
    <w:rsid w:val="007F4B9E"/>
    <w:rsid w:val="007F64AC"/>
    <w:rsid w:val="00803020"/>
    <w:rsid w:val="00810DE4"/>
    <w:rsid w:val="0081334A"/>
    <w:rsid w:val="00814158"/>
    <w:rsid w:val="00820F1C"/>
    <w:rsid w:val="008265EF"/>
    <w:rsid w:val="008336CA"/>
    <w:rsid w:val="008363E6"/>
    <w:rsid w:val="00845787"/>
    <w:rsid w:val="00850E42"/>
    <w:rsid w:val="00853D60"/>
    <w:rsid w:val="00855B36"/>
    <w:rsid w:val="008561B6"/>
    <w:rsid w:val="00866F02"/>
    <w:rsid w:val="0086704E"/>
    <w:rsid w:val="008671BB"/>
    <w:rsid w:val="008676EC"/>
    <w:rsid w:val="00883705"/>
    <w:rsid w:val="008906AB"/>
    <w:rsid w:val="008918F2"/>
    <w:rsid w:val="008926E4"/>
    <w:rsid w:val="00894C10"/>
    <w:rsid w:val="0089623C"/>
    <w:rsid w:val="0089649A"/>
    <w:rsid w:val="008A38A1"/>
    <w:rsid w:val="008A75DF"/>
    <w:rsid w:val="008B3D7D"/>
    <w:rsid w:val="008B571D"/>
    <w:rsid w:val="008B5721"/>
    <w:rsid w:val="008C0BE5"/>
    <w:rsid w:val="008C32B9"/>
    <w:rsid w:val="008C70AC"/>
    <w:rsid w:val="008D38A3"/>
    <w:rsid w:val="008D75F5"/>
    <w:rsid w:val="008E76E7"/>
    <w:rsid w:val="008F3DA2"/>
    <w:rsid w:val="008F5A70"/>
    <w:rsid w:val="008F69A1"/>
    <w:rsid w:val="00900A28"/>
    <w:rsid w:val="00910C69"/>
    <w:rsid w:val="00917CB0"/>
    <w:rsid w:val="00922665"/>
    <w:rsid w:val="00927570"/>
    <w:rsid w:val="0093002E"/>
    <w:rsid w:val="009311DB"/>
    <w:rsid w:val="009323FF"/>
    <w:rsid w:val="00932CF1"/>
    <w:rsid w:val="00933813"/>
    <w:rsid w:val="00933927"/>
    <w:rsid w:val="00940E68"/>
    <w:rsid w:val="00941AF4"/>
    <w:rsid w:val="00947CA1"/>
    <w:rsid w:val="00951655"/>
    <w:rsid w:val="0095307D"/>
    <w:rsid w:val="00960E93"/>
    <w:rsid w:val="0096679C"/>
    <w:rsid w:val="00967E8F"/>
    <w:rsid w:val="009700C5"/>
    <w:rsid w:val="009711C9"/>
    <w:rsid w:val="0097530A"/>
    <w:rsid w:val="009809F9"/>
    <w:rsid w:val="00982BB0"/>
    <w:rsid w:val="009923FB"/>
    <w:rsid w:val="00994C60"/>
    <w:rsid w:val="0099649A"/>
    <w:rsid w:val="009A1FCA"/>
    <w:rsid w:val="009A6F66"/>
    <w:rsid w:val="009B056E"/>
    <w:rsid w:val="009C3131"/>
    <w:rsid w:val="009C72ED"/>
    <w:rsid w:val="009C79BD"/>
    <w:rsid w:val="009D7569"/>
    <w:rsid w:val="009E09BE"/>
    <w:rsid w:val="009F29C0"/>
    <w:rsid w:val="009F64F0"/>
    <w:rsid w:val="00A00F75"/>
    <w:rsid w:val="00A06627"/>
    <w:rsid w:val="00A10A5F"/>
    <w:rsid w:val="00A11E37"/>
    <w:rsid w:val="00A13477"/>
    <w:rsid w:val="00A30557"/>
    <w:rsid w:val="00A31603"/>
    <w:rsid w:val="00A34C75"/>
    <w:rsid w:val="00A42986"/>
    <w:rsid w:val="00A43B99"/>
    <w:rsid w:val="00A46EC5"/>
    <w:rsid w:val="00A52029"/>
    <w:rsid w:val="00A6708D"/>
    <w:rsid w:val="00A6717D"/>
    <w:rsid w:val="00A67999"/>
    <w:rsid w:val="00A70E39"/>
    <w:rsid w:val="00A721EF"/>
    <w:rsid w:val="00A72743"/>
    <w:rsid w:val="00A73DE0"/>
    <w:rsid w:val="00A74AA0"/>
    <w:rsid w:val="00A85501"/>
    <w:rsid w:val="00A86A40"/>
    <w:rsid w:val="00A91D2C"/>
    <w:rsid w:val="00A95658"/>
    <w:rsid w:val="00AA0E80"/>
    <w:rsid w:val="00AA3688"/>
    <w:rsid w:val="00AB4C99"/>
    <w:rsid w:val="00AB51C6"/>
    <w:rsid w:val="00AD01CE"/>
    <w:rsid w:val="00AD0B75"/>
    <w:rsid w:val="00AD5161"/>
    <w:rsid w:val="00AD53B4"/>
    <w:rsid w:val="00AD6579"/>
    <w:rsid w:val="00AE047B"/>
    <w:rsid w:val="00AE04FE"/>
    <w:rsid w:val="00AE19D6"/>
    <w:rsid w:val="00AF3017"/>
    <w:rsid w:val="00AF58AC"/>
    <w:rsid w:val="00B004E6"/>
    <w:rsid w:val="00B0483A"/>
    <w:rsid w:val="00B05A90"/>
    <w:rsid w:val="00B10975"/>
    <w:rsid w:val="00B112DB"/>
    <w:rsid w:val="00B20CAD"/>
    <w:rsid w:val="00B35733"/>
    <w:rsid w:val="00B3644B"/>
    <w:rsid w:val="00B37675"/>
    <w:rsid w:val="00B41922"/>
    <w:rsid w:val="00B475A0"/>
    <w:rsid w:val="00B51E03"/>
    <w:rsid w:val="00B528D0"/>
    <w:rsid w:val="00B57ED7"/>
    <w:rsid w:val="00B64E14"/>
    <w:rsid w:val="00B744C5"/>
    <w:rsid w:val="00B779EF"/>
    <w:rsid w:val="00B83787"/>
    <w:rsid w:val="00B900BE"/>
    <w:rsid w:val="00B9151D"/>
    <w:rsid w:val="00B92BEE"/>
    <w:rsid w:val="00B97773"/>
    <w:rsid w:val="00BA2F48"/>
    <w:rsid w:val="00BA4EC5"/>
    <w:rsid w:val="00BA7896"/>
    <w:rsid w:val="00BB2CD5"/>
    <w:rsid w:val="00BB3D10"/>
    <w:rsid w:val="00BB3E46"/>
    <w:rsid w:val="00BC0957"/>
    <w:rsid w:val="00BC244A"/>
    <w:rsid w:val="00BC4BA9"/>
    <w:rsid w:val="00BC52D3"/>
    <w:rsid w:val="00BD705F"/>
    <w:rsid w:val="00BE0D78"/>
    <w:rsid w:val="00BE2CAD"/>
    <w:rsid w:val="00BF0CF3"/>
    <w:rsid w:val="00BF2885"/>
    <w:rsid w:val="00BF487E"/>
    <w:rsid w:val="00BF786D"/>
    <w:rsid w:val="00BF7922"/>
    <w:rsid w:val="00C114C6"/>
    <w:rsid w:val="00C12D21"/>
    <w:rsid w:val="00C13508"/>
    <w:rsid w:val="00C14413"/>
    <w:rsid w:val="00C15C8A"/>
    <w:rsid w:val="00C20029"/>
    <w:rsid w:val="00C218AD"/>
    <w:rsid w:val="00C26A49"/>
    <w:rsid w:val="00C27065"/>
    <w:rsid w:val="00C32A3B"/>
    <w:rsid w:val="00C41366"/>
    <w:rsid w:val="00C4529F"/>
    <w:rsid w:val="00C455CD"/>
    <w:rsid w:val="00C508A6"/>
    <w:rsid w:val="00C54A0E"/>
    <w:rsid w:val="00C55019"/>
    <w:rsid w:val="00C558EE"/>
    <w:rsid w:val="00C64A67"/>
    <w:rsid w:val="00C6614D"/>
    <w:rsid w:val="00C662DD"/>
    <w:rsid w:val="00C72154"/>
    <w:rsid w:val="00C734F8"/>
    <w:rsid w:val="00C74F22"/>
    <w:rsid w:val="00C83A99"/>
    <w:rsid w:val="00C93767"/>
    <w:rsid w:val="00C9676E"/>
    <w:rsid w:val="00CA2872"/>
    <w:rsid w:val="00CA7F2A"/>
    <w:rsid w:val="00CB3AF4"/>
    <w:rsid w:val="00CE7E67"/>
    <w:rsid w:val="00CF1CB1"/>
    <w:rsid w:val="00CF34D6"/>
    <w:rsid w:val="00CF3CD9"/>
    <w:rsid w:val="00CF57B7"/>
    <w:rsid w:val="00CF77C5"/>
    <w:rsid w:val="00D10160"/>
    <w:rsid w:val="00D235B3"/>
    <w:rsid w:val="00D274AB"/>
    <w:rsid w:val="00D3092E"/>
    <w:rsid w:val="00D344A1"/>
    <w:rsid w:val="00D350F8"/>
    <w:rsid w:val="00D3722E"/>
    <w:rsid w:val="00D4033F"/>
    <w:rsid w:val="00D43303"/>
    <w:rsid w:val="00D537CC"/>
    <w:rsid w:val="00D547E5"/>
    <w:rsid w:val="00D54929"/>
    <w:rsid w:val="00D563FB"/>
    <w:rsid w:val="00D61756"/>
    <w:rsid w:val="00D640DF"/>
    <w:rsid w:val="00D64ABF"/>
    <w:rsid w:val="00D65B76"/>
    <w:rsid w:val="00D66008"/>
    <w:rsid w:val="00D665B2"/>
    <w:rsid w:val="00D80330"/>
    <w:rsid w:val="00D8058A"/>
    <w:rsid w:val="00D80ED4"/>
    <w:rsid w:val="00D81BDA"/>
    <w:rsid w:val="00D827E7"/>
    <w:rsid w:val="00D86F49"/>
    <w:rsid w:val="00D9593F"/>
    <w:rsid w:val="00DA479B"/>
    <w:rsid w:val="00DA6D0C"/>
    <w:rsid w:val="00DB1CD0"/>
    <w:rsid w:val="00DB1E0D"/>
    <w:rsid w:val="00DB683F"/>
    <w:rsid w:val="00DC05DB"/>
    <w:rsid w:val="00DD1338"/>
    <w:rsid w:val="00DE3F5B"/>
    <w:rsid w:val="00DE4452"/>
    <w:rsid w:val="00DF250C"/>
    <w:rsid w:val="00DF7A54"/>
    <w:rsid w:val="00E04B9D"/>
    <w:rsid w:val="00E075C3"/>
    <w:rsid w:val="00E07C28"/>
    <w:rsid w:val="00E11B3E"/>
    <w:rsid w:val="00E120A8"/>
    <w:rsid w:val="00E13F2C"/>
    <w:rsid w:val="00E157E1"/>
    <w:rsid w:val="00E21DA0"/>
    <w:rsid w:val="00E224A3"/>
    <w:rsid w:val="00E30F11"/>
    <w:rsid w:val="00E324EB"/>
    <w:rsid w:val="00E326FB"/>
    <w:rsid w:val="00E347A4"/>
    <w:rsid w:val="00E34DCB"/>
    <w:rsid w:val="00E34FED"/>
    <w:rsid w:val="00E4225D"/>
    <w:rsid w:val="00E428BD"/>
    <w:rsid w:val="00E43246"/>
    <w:rsid w:val="00E44378"/>
    <w:rsid w:val="00E553D4"/>
    <w:rsid w:val="00E56CFD"/>
    <w:rsid w:val="00E641CF"/>
    <w:rsid w:val="00E67ECE"/>
    <w:rsid w:val="00E700AE"/>
    <w:rsid w:val="00E708DA"/>
    <w:rsid w:val="00E71CCC"/>
    <w:rsid w:val="00E73134"/>
    <w:rsid w:val="00E81321"/>
    <w:rsid w:val="00E8539D"/>
    <w:rsid w:val="00E91231"/>
    <w:rsid w:val="00E917D9"/>
    <w:rsid w:val="00E92A80"/>
    <w:rsid w:val="00E93456"/>
    <w:rsid w:val="00E97B19"/>
    <w:rsid w:val="00EA0D1C"/>
    <w:rsid w:val="00EA1959"/>
    <w:rsid w:val="00EA21D5"/>
    <w:rsid w:val="00EA3CD5"/>
    <w:rsid w:val="00EA6701"/>
    <w:rsid w:val="00EC26F0"/>
    <w:rsid w:val="00EC6CAB"/>
    <w:rsid w:val="00ED1576"/>
    <w:rsid w:val="00ED1692"/>
    <w:rsid w:val="00ED3A65"/>
    <w:rsid w:val="00ED6B30"/>
    <w:rsid w:val="00EE21BC"/>
    <w:rsid w:val="00EE2D61"/>
    <w:rsid w:val="00EE30AE"/>
    <w:rsid w:val="00EE6716"/>
    <w:rsid w:val="00EF3042"/>
    <w:rsid w:val="00EF6EAD"/>
    <w:rsid w:val="00F0066B"/>
    <w:rsid w:val="00F02F49"/>
    <w:rsid w:val="00F03BE5"/>
    <w:rsid w:val="00F0418E"/>
    <w:rsid w:val="00F0676C"/>
    <w:rsid w:val="00F20212"/>
    <w:rsid w:val="00F22C48"/>
    <w:rsid w:val="00F27D17"/>
    <w:rsid w:val="00F30803"/>
    <w:rsid w:val="00F30F06"/>
    <w:rsid w:val="00F33CBB"/>
    <w:rsid w:val="00F501A5"/>
    <w:rsid w:val="00F50609"/>
    <w:rsid w:val="00F50C18"/>
    <w:rsid w:val="00F52CFD"/>
    <w:rsid w:val="00F54F2D"/>
    <w:rsid w:val="00F55553"/>
    <w:rsid w:val="00F563E3"/>
    <w:rsid w:val="00F56A33"/>
    <w:rsid w:val="00F7055E"/>
    <w:rsid w:val="00F73D1A"/>
    <w:rsid w:val="00F80630"/>
    <w:rsid w:val="00F90F54"/>
    <w:rsid w:val="00F92C7F"/>
    <w:rsid w:val="00F952E8"/>
    <w:rsid w:val="00F96ED5"/>
    <w:rsid w:val="00F97F3F"/>
    <w:rsid w:val="00FA6411"/>
    <w:rsid w:val="00FB26D4"/>
    <w:rsid w:val="00FB51BC"/>
    <w:rsid w:val="00FC0683"/>
    <w:rsid w:val="00FC1280"/>
    <w:rsid w:val="00FD155B"/>
    <w:rsid w:val="00FD5769"/>
    <w:rsid w:val="00FE5B82"/>
    <w:rsid w:val="00FE62A9"/>
    <w:rsid w:val="00FE6D8C"/>
    <w:rsid w:val="00FE7C35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4CC87"/>
  <w15:chartTrackingRefBased/>
  <w15:docId w15:val="{1A474F83-2550-434C-832E-9E3E18AD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A9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 w:line="259" w:lineRule="auto"/>
      <w:contextualSpacing/>
      <w:outlineLvl w:val="0"/>
    </w:pPr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28"/>
    <w:pPr>
      <w:keepNext/>
      <w:keepLines/>
      <w:spacing w:before="460" w:after="120" w:line="259" w:lineRule="auto"/>
      <w:contextualSpacing/>
      <w:outlineLvl w:val="1"/>
    </w:pPr>
    <w:rPr>
      <w:rFonts w:asciiTheme="majorHAnsi" w:eastAsia="Microsoft YaHei UI" w:hAnsiTheme="majorHAnsi" w:cstheme="majorBidi"/>
      <w:b/>
      <w:color w:val="595959" w:themeColor="text1" w:themeTint="A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28"/>
    <w:pPr>
      <w:keepNext/>
      <w:keepLines/>
      <w:spacing w:before="460" w:after="120" w:line="259" w:lineRule="auto"/>
      <w:contextualSpacing/>
      <w:outlineLvl w:val="2"/>
    </w:pPr>
    <w:rPr>
      <w:rFonts w:asciiTheme="majorHAnsi" w:eastAsia="Microsoft YaHei UI" w:hAnsiTheme="majorHAnsi" w:cstheme="majorBidi"/>
      <w:color w:val="595959" w:themeColor="text1" w:themeTint="A6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 w:after="120" w:line="259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 w:after="120" w:line="259" w:lineRule="auto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 w:after="120" w:line="259" w:lineRule="auto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 w:after="120" w:line="259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 w:after="120" w:line="259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 w:after="120" w:line="259" w:lineRule="auto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="Microsoft YaHei UI" w:hAnsiTheme="minorHAnsi" w:cstheme="minorBidi"/>
      <w:color w:val="595959" w:themeColor="text1" w:themeTint="A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="Microsoft YaHei UI" w:hAnsiTheme="minorHAnsi" w:cstheme="minorBidi"/>
      <w:color w:val="595959" w:themeColor="text1" w:themeTint="A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="Microsoft YaHei UI" w:hAnsiTheme="minorHAnsi" w:cstheme="minorBidi"/>
      <w:color w:val="595959" w:themeColor="text1" w:themeTint="A6"/>
      <w:sz w:val="30"/>
      <w:szCs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Theme="minorHAnsi" w:eastAsia="Microsoft YaHei UI" w:hAnsiTheme="minorHAnsi" w:cstheme="minorBidi"/>
      <w:color w:val="595959" w:themeColor="text1" w:themeTint="A6"/>
      <w:sz w:val="30"/>
      <w:szCs w:val="30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="Microsoft YaHei UI" w:hAnsiTheme="minorHAnsi" w:cstheme="minorBidi"/>
      <w:caps/>
      <w:color w:val="595959" w:themeColor="text1" w:themeTint="A6"/>
      <w:sz w:val="4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A28"/>
    <w:rPr>
      <w:rFonts w:asciiTheme="majorHAnsi" w:eastAsia="Microsoft YaHei UI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28"/>
    <w:rPr>
      <w:rFonts w:asciiTheme="majorHAnsi" w:eastAsia="Microsoft YaHei UI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="Microsoft YaHei UI" w:hAnsiTheme="minorHAnsi" w:cstheme="minorBidi"/>
      <w:i/>
      <w:iCs/>
      <w:color w:val="595959" w:themeColor="text1" w:themeTint="A6"/>
      <w:sz w:val="36"/>
      <w:szCs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="Microsoft YaHei UI" w:hAnsiTheme="minorHAnsi" w:cstheme="minorBidi"/>
      <w:b/>
      <w:i/>
      <w:iCs/>
      <w:color w:val="595959" w:themeColor="text1" w:themeTint="A6"/>
      <w:sz w:val="36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="Microsoft YaHei UI" w:hAnsiTheme="minorHAnsi" w:cstheme="minorBidi"/>
      <w:i/>
      <w:iCs/>
      <w:color w:val="595959" w:themeColor="text1" w:themeTint="A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rPr>
      <w:rFonts w:ascii="Segoe UI" w:eastAsia="Microsoft YaHei UI" w:hAnsi="Segoe UI" w:cs="Segoe UI"/>
      <w:color w:val="595959" w:themeColor="text1" w:themeTint="A6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pPr>
      <w:spacing w:after="120" w:line="259" w:lineRule="auto"/>
    </w:pPr>
    <w:rPr>
      <w:rFonts w:asciiTheme="minorHAnsi" w:eastAsia="Microsoft YaHei UI" w:hAnsiTheme="minorHAnsi" w:cstheme="minorBidi"/>
      <w:color w:val="595959" w:themeColor="text1" w:themeTint="A6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spacing w:after="120" w:line="259" w:lineRule="auto"/>
      <w:ind w:left="360"/>
    </w:pPr>
    <w:rPr>
      <w:rFonts w:asciiTheme="minorHAnsi" w:eastAsia="Microsoft YaHei UI" w:hAnsiTheme="minorHAnsi" w:cstheme="minorBidi"/>
      <w:color w:val="595959" w:themeColor="text1" w:themeTint="A6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after="120"/>
    </w:pPr>
    <w:rPr>
      <w:rFonts w:asciiTheme="minorHAnsi" w:eastAsia="Microsoft YaHei UI" w:hAnsiTheme="minorHAnsi" w:cstheme="minorBidi"/>
      <w:color w:val="595959" w:themeColor="text1" w:themeTint="A6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rPr>
      <w:rFonts w:ascii="Segoe UI" w:eastAsia="Microsoft YaHei UI" w:hAnsi="Segoe UI" w:cs="Segoe UI"/>
      <w:color w:val="595959" w:themeColor="text1" w:themeTint="A6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rPr>
      <w:rFonts w:asciiTheme="minorHAnsi" w:eastAsia="Microsoft YaHei UI" w:hAnsiTheme="minorHAnsi" w:cstheme="minorBidi"/>
      <w:color w:val="595959" w:themeColor="text1" w:themeTint="A6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rPr>
      <w:rFonts w:asciiTheme="majorHAnsi" w:eastAsiaTheme="majorEastAsia" w:hAnsiTheme="majorHAnsi" w:cstheme="majorBidi"/>
      <w:color w:val="595959" w:themeColor="text1" w:themeTint="A6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rPr>
      <w:rFonts w:asciiTheme="minorHAnsi" w:eastAsia="Microsoft YaHei UI" w:hAnsiTheme="minorHAnsi" w:cstheme="minorBidi"/>
      <w:color w:val="595959" w:themeColor="text1" w:themeTint="A6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rPr>
      <w:rFonts w:ascii="Consolas" w:eastAsia="Microsoft YaHei UI" w:hAnsi="Consolas" w:cstheme="minorBidi"/>
      <w:color w:val="595959" w:themeColor="text1" w:themeTint="A6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rPr>
      <w:rFonts w:ascii="Consolas" w:eastAsia="Microsoft YaHei UI" w:hAnsi="Consolas" w:cstheme="minorBidi"/>
      <w:color w:val="595959" w:themeColor="text1" w:themeTint="A6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E3B03"/>
    <w:pPr>
      <w:spacing w:after="120" w:line="259" w:lineRule="auto"/>
      <w:ind w:left="720"/>
      <w:contextualSpacing/>
    </w:pPr>
    <w:rPr>
      <w:rFonts w:asciiTheme="minorHAnsi" w:eastAsia="Microsoft YaHei UI" w:hAnsiTheme="minorHAnsi" w:cstheme="minorBidi"/>
      <w:color w:val="595959" w:themeColor="text1" w:themeTint="A6"/>
      <w:sz w:val="30"/>
      <w:szCs w:val="30"/>
    </w:rPr>
  </w:style>
  <w:style w:type="table" w:styleId="TableGrid">
    <w:name w:val="Table Grid"/>
    <w:basedOn w:val="TableNormal"/>
    <w:uiPriority w:val="39"/>
    <w:rsid w:val="00101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BE0D78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  <w:tblStylePr w:type="neCell">
      <w:tblPr/>
      <w:tcPr>
        <w:tcBorders>
          <w:bottom w:val="single" w:sz="4" w:space="0" w:color="54A2C3" w:themeColor="accent2" w:themeTint="99"/>
        </w:tcBorders>
      </w:tcPr>
    </w:tblStylePr>
    <w:tblStylePr w:type="nwCell">
      <w:tblPr/>
      <w:tcPr>
        <w:tcBorders>
          <w:bottom w:val="single" w:sz="4" w:space="0" w:color="54A2C3" w:themeColor="accent2" w:themeTint="99"/>
        </w:tcBorders>
      </w:tcPr>
    </w:tblStylePr>
    <w:tblStylePr w:type="seCell">
      <w:tblPr/>
      <w:tcPr>
        <w:tcBorders>
          <w:top w:val="single" w:sz="4" w:space="0" w:color="54A2C3" w:themeColor="accent2" w:themeTint="99"/>
        </w:tcBorders>
      </w:tcPr>
    </w:tblStylePr>
    <w:tblStylePr w:type="swCell">
      <w:tblPr/>
      <w:tcPr>
        <w:tcBorders>
          <w:top w:val="single" w:sz="4" w:space="0" w:color="54A2C3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BE0D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BE0D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Roaming\Microsoft\Templates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453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Junjia</dc:creator>
  <cp:keywords/>
  <dc:description/>
  <cp:lastModifiedBy>#CHEN, JUNJIA#</cp:lastModifiedBy>
  <cp:revision>46</cp:revision>
  <cp:lastPrinted>2024-02-02T15:33:00Z</cp:lastPrinted>
  <dcterms:created xsi:type="dcterms:W3CDTF">2024-02-02T13:27:00Z</dcterms:created>
  <dcterms:modified xsi:type="dcterms:W3CDTF">2024-04-13T14:07:00Z</dcterms:modified>
</cp:coreProperties>
</file>