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JhengHei" w:cs="Microsoft JhengHei" w:eastAsia="Microsoft JhengHei" w:hAnsi="Microsoft JhengHei"/>
        </w:rPr>
        <w:t xml:space="preserve">智邦科技（TWSE:2345）個股研究報告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資料日：2026-10-01｜股價：NT$1,900（10/1 收盤）｜產業模板：成長型製造業｜Kevin 類別：CPO（00891 錨定，依 Kevin workbook）</w:t>
      </w:r>
    </w:p>
    <w:p>
      <w:pPr>
        <w:spacing w:after="120"/>
        <w:rPr>
          <w:color w:val="C00000"/>
        </w:rPr>
      </w:pPr>
      <w:r>
        <w:rPr>
          <w:rFonts w:ascii="Microsoft JhengHei" w:cs="Microsoft JhengHei" w:eastAsia="Microsoft JhengHei" w:hAnsi="Microsoft JhengHei"/>
          <w:color w:val="C00000"/>
          <w:sz w:val="21"/>
          <w:szCs w:val="21"/>
        </w:rPr>
        <w:t xml:space="preserve">⚠ 資料狀態：provisional。本次執行環境的網路政策封鎖公開資訊觀測站與證交所，財報數字取自 Kevin workbook 季報調節頁（MOPS 來源）與 Bigdata.com（FMP），月營收取自新聞彙整；plugin 的官方身分查核與正式估值門檻未通過，數字需以 MOPS 原檔複核。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一、核心結論</w:t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AI 資料中心白牌交換器龍頭，2026 年營收與獲利加速，Kevin 模型（CPO 錨定）情境 A 目標價 NT$2,262（+19%）、情境 B NT$2,599（+37%），PEG 0.39 偏便宜；主要風險是存貨暴增帶來的負營業現金流與客戶集中。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900"/>
        <w:gridCol w:w="1500"/>
        <w:gridCol w:w="3326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方法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價值 (NT$)</w:t>
            </w:r>
          </w:p>
        </w:tc>
        <w:tc>
          <w:tcPr>
            <w:tcW w:type="dxa" w:w="1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對現價</w:t>
            </w:r>
          </w:p>
        </w:tc>
        <w:tc>
          <w:tcPr>
            <w:tcW w:type="dxa" w:w="332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Kevin 情境 A（主）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2,262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+19.1%</w:t>
            </w:r>
          </w:p>
        </w:tc>
        <w:tc>
          <w:tcPr>
            <w:tcW w:type="dxa" w:w="33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1–8月營收×12/8、H1 帳面淨利率 11.70%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Kevin 情境 B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2,599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+36.8%</w:t>
            </w:r>
          </w:p>
        </w:tc>
        <w:tc>
          <w:tcPr>
            <w:tcW w:type="dxa" w:w="33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近兩月均 401.7 億、Q2 淨利率 11.56%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雙法 Low / Mid / High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1,885 / 2,262 / 2,602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-0.8% / +19.1% / +36.9%</w:t>
            </w:r>
          </w:p>
        </w:tc>
        <w:tc>
          <w:tcPr>
            <w:tcW w:type="dxa" w:w="33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PE band 由 Kevin P、Q 推得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Bear case 下行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1,500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-21.1%</w:t>
            </w:r>
          </w:p>
        </w:tc>
        <w:tc>
          <w:tcPr>
            <w:tcW w:type="dxa" w:w="33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情境：EPS 回到 Kevin A 76.9、PE 收斂至 19.5x（Low band 下緣 −20%）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FactSet 共識（參考）</w:t>
            </w:r>
          </w:p>
        </w:tc>
        <w:tc>
          <w:tcPr>
            <w:tcW w:type="dxa" w:w="1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3,500</w:t>
            </w:r>
          </w:p>
        </w:tc>
        <w:tc>
          <w:tcPr>
            <w:tcW w:type="dxa" w:w="1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+84.2%</w:t>
            </w:r>
          </w:p>
        </w:tc>
        <w:tc>
          <w:tcPr>
            <w:tcW w:type="dxa" w:w="33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外部觀點，2026 EPS 中位數 83.78–86.43</w:t>
            </w:r>
          </w:p>
        </w:tc>
      </w:tr>
    </w:tbl>
    <w:p/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800"/>
        <w:gridCol w:w="1600"/>
        <w:gridCol w:w="2226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訊號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信心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期間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分數</w:t>
            </w:r>
          </w:p>
        </w:tc>
        <w:tc>
          <w:tcPr>
            <w:tcW w:type="dxa" w:w="222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動作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BULLISH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MEDIUM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MEDIUM-TERM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6.5 / 10</w:t>
            </w:r>
          </w:p>
        </w:tc>
        <w:tc>
          <w:tcPr>
            <w:tcW w:type="dxa" w:w="2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HOLD / 分批布局</w:t>
            </w:r>
          </w:p>
        </w:tc>
      </w:tr>
    </w:tbl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二、公司與產業定位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全球白牌（white-box）資料中心交換器龍頭，媒體引述白牌市占逾 60%，交換器約占營收 58%；主要客戶為 AWS，2026 年 Meta 回歸 800G 供應鏈成為第二大資料中心客戶。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產業鏈位置：中游 ODM。上游為交換晶片（Broadcom Tomahawk）、光模組、PCB/CCL；下游為 CSP 自建 AI 叢集。瓶頸在交換晶片與高速光通訊，智邦以系統設計與量產能力收取加工價值。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成長引擎：400G→800G→1.6T 規格升級；AWS 業務由 scale-out 交換器、compute tray AI 卡擴展到 scale-up switch tray（凱基）。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結構變化：客戶代料（consignment）模式討論中，零組件成本不計營收，會壓低營收成長但推升毛利率。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三、營運與財務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單位：NT$ 百萬（EPS 為元）。來源：Bigdata.com（FMP），未經 MOPS 原檔逐項核對。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200"/>
        <w:gridCol w:w="1000"/>
        <w:gridCol w:w="1000"/>
        <w:gridCol w:w="1200"/>
        <w:gridCol w:w="900"/>
        <w:gridCol w:w="1300"/>
        <w:gridCol w:w="1426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季度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營收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毛利率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營益率</w:t>
            </w:r>
          </w:p>
        </w:tc>
        <w:tc>
          <w:tcPr>
            <w:tcW w:type="dxa" w:w="1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歸母淨利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EPS</w:t>
            </w:r>
          </w:p>
        </w:tc>
        <w:tc>
          <w:tcPr>
            <w:tcW w:type="dxa" w:w="1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存貨</w:t>
            </w:r>
          </w:p>
        </w:tc>
        <w:tc>
          <w:tcPr>
            <w:tcW w:type="dxa" w:w="142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營業現金流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2024Q3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28,193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19.9%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12.3%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2,650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4.75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17,807</w:t>
            </w:r>
          </w:p>
        </w:tc>
        <w:tc>
          <w:tcPr>
            <w:tcW w:type="dxa" w:w="1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4,996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2024Q4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38,972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20.7%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13.3%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4,525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8.10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19,371</w:t>
            </w:r>
          </w:p>
        </w:tc>
        <w:tc>
          <w:tcPr>
            <w:tcW w:type="dxa" w:w="1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3,283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2025Q1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42,751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20.2%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13.9%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5,127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9.17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23,945</w:t>
            </w:r>
          </w:p>
        </w:tc>
        <w:tc>
          <w:tcPr>
            <w:tcW w:type="dxa" w:w="1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4,078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2025Q2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60,605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17.9%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13.4%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5,032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9.01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26,198</w:t>
            </w:r>
          </w:p>
        </w:tc>
        <w:tc>
          <w:tcPr>
            <w:tcW w:type="dxa" w:w="1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2,231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2025Q3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72,947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16.9%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12.3%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7,827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14.00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31,886</w:t>
            </w:r>
          </w:p>
        </w:tc>
        <w:tc>
          <w:tcPr>
            <w:tcW w:type="dxa" w:w="1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18,715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2025Q4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72,071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17.9%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12.7%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8,348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14.95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30,202</w:t>
            </w:r>
          </w:p>
        </w:tc>
        <w:tc>
          <w:tcPr>
            <w:tcW w:type="dxa" w:w="1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10,089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2026Q1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70,121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19.5%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14.3%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8,333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14.92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50,480</w:t>
            </w:r>
          </w:p>
        </w:tc>
        <w:tc>
          <w:tcPr>
            <w:tcW w:type="dxa" w:w="1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-3,388</w:t>
            </w:r>
          </w:p>
        </w:tc>
      </w:tr>
      <w:tr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2026Q2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95,546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19.7%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15.0%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11,047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19.78</w:t>
            </w:r>
          </w:p>
        </w:tc>
        <w:tc>
          <w:tcPr>
            <w:tcW w:type="dxa" w:w="1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76,973</w:t>
            </w:r>
          </w:p>
        </w:tc>
        <w:tc>
          <w:tcPr>
            <w:tcW w:type="dxa" w:w="14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-11,533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2026 年 1–8 月營收 2,460.04 億元（年增 61.9%）；7 月 394.73 億、8 月 408.73 億，連創新高。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毛利率由 2025Q3 低點 16.9% 回升至 2026Q2 19.7%；營益率 15.0%。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警訊：存貨由 2025Q4 302 億增至 2026Q2 770 億，H1 營業現金流 −149 億、自由現金流 −186 億，屬備料拉貨期特徵，需追蹤 Q3 是否轉正。淨現金約 340 億（現金及短投 434 億 − 有息負債 94 億）。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四、Kevin 雙層錨定模型</w:t>
      </w: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</w:rPr>
        <w:t xml:space="preserve">4.1 核心輸入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126"/>
      </w:tblGrid>
      <w:tr>
        <w:trPr>
          <w:tblHeader/>
        </w:trPr>
        <w:tc>
          <w:tcPr>
            <w:tcW w:type="dxa" w:w="2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2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數值</w:t>
            </w:r>
          </w:p>
        </w:tc>
        <w:tc>
          <w:tcPr>
            <w:tcW w:type="dxa" w:w="412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資料來源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1–8月累計營收 E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246,003,583 千元</w:t>
            </w:r>
          </w:p>
        </w:tc>
        <w:tc>
          <w:tcPr>
            <w:tcW w:type="dxa" w:w="4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workbook CPO概念頁；新聞 2,460.04 億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H 淨利率（合併）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11.70%</w:t>
            </w:r>
          </w:p>
        </w:tc>
        <w:tc>
          <w:tcPr>
            <w:tcW w:type="dxa" w:w="4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2026H1：本期淨利 19,380,206 ÷ 營收 165,658,435 千元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盈餘品質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非經常性占稅前 0.56%（乾淨）</w:t>
            </w:r>
          </w:p>
        </w:tc>
        <w:tc>
          <w:tcPr>
            <w:tcW w:type="dxa" w:w="4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匯兌 132,793、股票評價 5,829 千元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 業主淨利占比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4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歸母÷合併 ≈ 100%（workbook）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股本 I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56.11 億</w:t>
            </w:r>
          </w:p>
        </w:tc>
        <w:tc>
          <w:tcPr>
            <w:tcW w:type="dxa" w:w="4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資產負債表普通股股本 5,611,179 千元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基期 EPS J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47.13 元（帳面）</w:t>
            </w:r>
          </w:p>
        </w:tc>
        <w:tc>
          <w:tcPr>
            <w:tcW w:type="dxa" w:w="4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2025 四季合計；全年業外占稅前約 +2%，不調整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錨定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00891 PE 28 × 0.85／0.62 × M_adj 0.85</w:t>
            </w:r>
          </w:p>
        </w:tc>
        <w:tc>
          <w:tcPr>
            <w:tcW w:type="dxa" w:w="4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workbook Anchor 2026/09/11（20 天）；大盤 PE 31.26 為 7/09 水位</w:t>
            </w:r>
          </w:p>
        </w:tc>
      </w:tr>
      <w:tr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現價 M</w:t>
            </w:r>
          </w:p>
        </w:tc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NT$1,900</w:t>
            </w:r>
          </w:p>
        </w:tc>
        <w:tc>
          <w:tcPr>
            <w:tcW w:type="dxa" w:w="41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2026-10-01 收盤</w:t>
            </w:r>
          </w:p>
        </w:tc>
      </w:tr>
    </w:tbl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</w:rPr>
        <w:t xml:space="preserve">4.2 計算結果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3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情境 A</w:t>
            </w:r>
          </w:p>
        </w:tc>
        <w:tc>
          <w:tcPr>
            <w:tcW w:type="dxa" w:w="302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情境 B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年化營收（千元）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369,005,375</w:t>
            </w:r>
          </w:p>
        </w:tc>
        <w:tc>
          <w:tcPr>
            <w:tcW w:type="dxa" w:w="3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406,693,879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預期 EPS N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76.93</w:t>
            </w:r>
          </w:p>
        </w:tc>
        <w:tc>
          <w:tcPr>
            <w:tcW w:type="dxa" w:w="3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83.80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EPS 成長率 O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+63.2%</w:t>
            </w:r>
          </w:p>
        </w:tc>
        <w:tc>
          <w:tcPr>
            <w:tcW w:type="dxa" w:w="3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+77.8%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PE_P / PE_Q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28.18 / 30.63</w:t>
            </w:r>
          </w:p>
        </w:tc>
        <w:tc>
          <w:tcPr>
            <w:tcW w:type="dxa" w:w="3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29.05 / 32.98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股價 A / 股價 B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2,168 / 2,356</w:t>
            </w:r>
          </w:p>
        </w:tc>
        <w:tc>
          <w:tcPr>
            <w:tcW w:type="dxa" w:w="3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2,435 / 2,764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目標價 T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2,262</w:t>
            </w:r>
          </w:p>
        </w:tc>
        <w:tc>
          <w:tcPr>
            <w:tcW w:type="dxa" w:w="3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2,599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漲幅空間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+19.1%</w:t>
            </w:r>
          </w:p>
        </w:tc>
        <w:tc>
          <w:tcPr>
            <w:tcW w:type="dxa" w:w="3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+36.8%</w:t>
            </w:r>
          </w:p>
        </w:tc>
      </w:tr>
      <w:tr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目前本益比 M/N</w:t>
            </w:r>
          </w:p>
        </w:tc>
        <w:tc>
          <w:tcPr>
            <w:tcW w:type="dxa" w:w="3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24.7</w:t>
            </w:r>
          </w:p>
        </w:tc>
        <w:tc>
          <w:tcPr>
            <w:tcW w:type="dxa" w:w="3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22.7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一致性檢核通過：最新一季 EPS 19.78 &lt; 全年外推 N 76.93。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與 Kevin workbook 9/11 版（EPS 77.0、目標價 2,265）一致；差異僅來自股價更新（1,965 → 1,900）。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情境 B 的 EPS 83.80 與 FactSet 共識 83.78–86.43 接近，顯示線性年化（情境 A）可能低估 H2 ramp。</w:t>
      </w: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</w:rPr>
        <w:t xml:space="preserve">4.3 類別敏感度（情境 A）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000"/>
        <w:gridCol w:w="2226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類別（錨定 ETF）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base_P / base_Q</w:t>
            </w:r>
          </w:p>
        </w:tc>
        <w:tc>
          <w:tcPr>
            <w:tcW w:type="dxa" w:w="2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目標價 T</w:t>
            </w:r>
          </w:p>
        </w:tc>
        <w:tc>
          <w:tcPr>
            <w:tcW w:type="dxa" w:w="222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對現價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投資組合（0050）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14.03 / 10.29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1,852</w:t>
            </w:r>
          </w:p>
        </w:tc>
        <w:tc>
          <w:tcPr>
            <w:tcW w:type="dxa" w:w="2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−2.5%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CPO（00891，現行）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20.23 / 14.76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2,262</w:t>
            </w:r>
          </w:p>
        </w:tc>
        <w:tc>
          <w:tcPr>
            <w:tcW w:type="dxa" w:w="2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+19.1%</w:t>
            </w:r>
          </w:p>
        </w:tc>
      </w:tr>
      <w:tr>
        <w:tc>
          <w:tcPr>
            <w:tcW w:type="dxa" w:w="2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潛力股（00935）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23.84 / 17.39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2,503</w:t>
            </w:r>
          </w:p>
        </w:tc>
        <w:tc>
          <w:tcPr>
            <w:tcW w:type="dxa" w:w="2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+31.7%</w:t>
            </w:r>
          </w:p>
        </w:tc>
      </w:tr>
    </w:tbl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類別選擇會讓目標價差距達 35%。智邦實際是網通 ODM，並非 CPO 元件商；若改歸「投資組合」，模型訊號接近中性。請確認是否維持 CPO 類別。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五、台股雙法估值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3400"/>
        <w:gridCol w:w="2026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Fwd PE</w:t>
            </w:r>
          </w:p>
        </w:tc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PEG</w:t>
            </w:r>
          </w:p>
        </w:tc>
        <w:tc>
          <w:tcPr>
            <w:tcW w:type="dxa" w:w="3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PE Low / Mid / High</w:t>
            </w:r>
          </w:p>
        </w:tc>
        <w:tc>
          <w:tcPr>
            <w:tcW w:type="dxa" w:w="202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綜合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24.7x</w:t>
            </w:r>
          </w:p>
        </w:tc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0.39</w:t>
            </w:r>
          </w:p>
        </w:tc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24.5 / 29.4 / 33.8</w:t>
            </w:r>
          </w:p>
        </w:tc>
        <w:tc>
          <w:tcPr>
            <w:tcW w:type="dxa" w:w="2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🟢 偏便宜</w:t>
            </w:r>
          </w:p>
        </w:tc>
      </w:tr>
    </w:tbl>
    <w:p/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未觸發 ⚫：O = 63% &lt; 300%、現價 PE 24.7 &lt; 150、N &gt; 0。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⚠ 網通/AI 高速傳輸屬 H2 放量題材，模型情境 A 線性年化可能低估 H2 ramp，請對照情境 B 與法人預估。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Method A 偏便宜、Method B Mid 高於現價 → 雙法同向偏多；Low band 1,885 約等於現價，提供下檔參考。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六、競爭格局與同業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300"/>
        <w:gridCol w:w="3726"/>
      </w:tblGrid>
      <w:tr>
        <w:trPr>
          <w:tblHeader/>
        </w:trPr>
        <w:tc>
          <w:tcPr>
            <w:tcW w:type="dxa" w:w="16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同業</w:t>
            </w:r>
          </w:p>
        </w:tc>
        <w:tc>
          <w:tcPr>
            <w:tcW w:type="dxa" w:w="14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代號</w:t>
            </w:r>
          </w:p>
        </w:tc>
        <w:tc>
          <w:tcPr>
            <w:tcW w:type="dxa" w:w="23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可比類型</w:t>
            </w:r>
          </w:p>
        </w:tc>
        <w:tc>
          <w:tcPr>
            <w:tcW w:type="dxa" w:w="372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可比理由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Celestica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NYSE:CLS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完全可比（白牌資料中心交換器 ODM）</w:t>
            </w:r>
          </w:p>
        </w:tc>
        <w:tc>
          <w:tcPr>
            <w:tcW w:type="dxa" w:w="3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10-K 自列 Accton 為 ODM 競爭者；800G/1.6T 交換器直接競爭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Arista Networks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NYSE:ANET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替代可比（品牌交換器 OEM）</w:t>
            </w:r>
          </w:p>
        </w:tc>
        <w:tc>
          <w:tcPr>
            <w:tcW w:type="dxa" w:w="3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AI back-end 網路的品牌替代方案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啟碁 WNC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TWSE:6285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相鄰可比（網通 ODM）</w:t>
            </w:r>
          </w:p>
        </w:tc>
        <w:tc>
          <w:tcPr>
            <w:tcW w:type="dxa" w:w="3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台灣網通三雄之一，產品偏企業/衛星/車用，資料中心比重低</w:t>
            </w:r>
          </w:p>
        </w:tc>
      </w:tr>
      <w:tr>
        <w:tc>
          <w:tcPr>
            <w:tcW w:type="dxa" w:w="1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緯穎</w:t>
            </w:r>
          </w:p>
        </w:tc>
        <w:tc>
          <w:tcPr>
            <w:tcW w:type="dxa" w:w="1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TWSE:6669</w:t>
            </w:r>
          </w:p>
        </w:tc>
        <w:tc>
          <w:tcPr>
            <w:tcW w:type="dxa" w:w="23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相鄰可比（AI 伺服器 ODM）</w:t>
            </w:r>
          </w:p>
        </w:tc>
        <w:tc>
          <w:tcPr>
            <w:tcW w:type="dxa" w:w="37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同屬 CSP 白牌供應鏈、客戶重疊</w:t>
            </w:r>
          </w:p>
        </w:tc>
      </w:tr>
    </w:tbl>
    <w:p/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同業估值數字未抓取（需使用者確認同業組合後再跑 Kevin 同業模式），列表僅說明可比理由。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Moat：與 CSP 共同開發的設計導入與量產良率形成轉換成本，加上規模效率；屬窄護城河，因客戶議價力強、規格由客戶與晶片商主導。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威脅：Celestica 直接競爭 800G/1.6T；Nvidia Spectrum-X 等整合方案與 Arista 品牌機在 AI back-end 網路爭奪份額。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七、Bear case（刻意單方面空方論點）</w:t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空方強度：5 / 10（中度：有實質紅旗，但未到論點破壞）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存貨與應收急增、營業現金流連兩季為負；客戶高度集中於 AWS/Meta；consignment 與 Nvidia 整合式網通方案可能侵蝕白牌份額。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面向</w:t>
            </w:r>
          </w:p>
        </w:tc>
        <w:tc>
          <w:tcPr>
            <w:tcW w:type="dxa" w:w="702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發現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盈餘品質/現金流</w:t>
            </w:r>
          </w:p>
        </w:tc>
        <w:tc>
          <w:tcPr>
            <w:tcW w:type="dxa" w:w="7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存貨 25Q4 302 億 → 26Q2 770 億（+155%）；H1 營業現金流 −149 億、FCF −186 億；應收 548 億。若下游拉貨放緩，存貨跌價與現金壓力同時出現。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客戶集中</w:t>
            </w:r>
          </w:p>
        </w:tc>
        <w:tc>
          <w:tcPr>
            <w:tcW w:type="dxa" w:w="7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AWS+Meta 營收占比 2025 約 70%、2027 估 80%（凱基）；單一客戶規格或採購轉向即重創營收。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競爭/替代</w:t>
            </w:r>
          </w:p>
        </w:tc>
        <w:tc>
          <w:tcPr>
            <w:tcW w:type="dxa" w:w="7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Celestica 在 800G/1.6T 白牌交換器正面競爭；Nvidia Spectrum-X/NVLink 整合方案、Arista 品牌機在 AI back-end 網路搶份額。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營收認列</w:t>
            </w:r>
          </w:p>
        </w:tc>
        <w:tc>
          <w:tcPr>
            <w:tcW w:type="dxa" w:w="7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客戶代料模式使零組件成本不入營收，Kevin 模型以營收年化會低估 EPS 也會讓 YoY 失真。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估值/資金面</w:t>
            </w:r>
          </w:p>
        </w:tc>
        <w:tc>
          <w:tcPr>
            <w:tcW w:type="dxa" w:w="7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股價 YTD 仍 +60%，大盤 PE 31x 位於 10 年中位數 1.84 倍；AI 資本支出預期任何下修都會先殺估值。</w:t>
            </w:r>
          </w:p>
        </w:tc>
      </w:tr>
      <w:tr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總體/關稅</w:t>
            </w:r>
          </w:p>
        </w:tc>
        <w:tc>
          <w:tcPr>
            <w:tcW w:type="dxa" w:w="70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美國關稅與出口管制；產能在台灣/越南，若關稅擴及網通設備將壓縮毛利。</w:t>
            </w:r>
          </w:p>
        </w:tc>
      </w:tr>
    </w:tbl>
    <w:p/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什麼會證明空方錯：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Q3 營收 ≥1,150 億且毛利率 ≥19.5%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Q3 營業現金流轉正、存貨天數下降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2027 法人 EPS 持續上修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八、催化劑、失效條件與追蹤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100"/>
        <w:gridCol w:w="4226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時間</w:t>
            </w:r>
          </w:p>
        </w:tc>
        <w:tc>
          <w:tcPr>
            <w:tcW w:type="dxa" w:w="31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事件</w:t>
            </w:r>
          </w:p>
        </w:tc>
        <w:tc>
          <w:tcPr>
            <w:tcW w:type="dxa" w:w="4226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19"/>
                <w:szCs w:val="19"/>
              </w:rPr>
              <w:t xml:space="preserve">觀察重點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10/10 前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9月營收</w:t>
            </w:r>
          </w:p>
        </w:tc>
        <w:tc>
          <w:tcPr>
            <w:tcW w:type="dxa" w:w="4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Q3 是否 ≥1,143 億市場共識（7+8月已 803 億）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2026-11-06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Q3 法說</w:t>
            </w:r>
          </w:p>
        </w:tc>
        <w:tc>
          <w:tcPr>
            <w:tcW w:type="dxa" w:w="4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毛利率能否守 19.5%、營業現金流是否轉正、存貨天數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2026Q4–2027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1.6T 交換器與 scale-up switch tray 放量</w:t>
            </w:r>
          </w:p>
        </w:tc>
        <w:tc>
          <w:tcPr>
            <w:tcW w:type="dxa" w:w="4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AWS/Meta 拉貨節奏、consignment 對營收的影響</w:t>
            </w:r>
          </w:p>
        </w:tc>
      </w:tr>
      <w:tr>
        <w:tc>
          <w:tcPr>
            <w:tcW w:type="dxa" w:w="1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每月</w:t>
            </w:r>
          </w:p>
        </w:tc>
        <w:tc>
          <w:tcPr>
            <w:tcW w:type="dxa" w:w="3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錨定值更新</w:t>
            </w:r>
          </w:p>
        </w:tc>
        <w:tc>
          <w:tcPr>
            <w:tcW w:type="dxa" w:w="4226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19"/>
                <w:szCs w:val="19"/>
              </w:rPr>
              <w:t xml:space="preserve">00891 與大盤 PE；錨定值超過 45 天需更新</w:t>
            </w:r>
          </w:p>
        </w:tc>
      </w:tr>
    </w:tbl>
    <w:p/>
    <w:p>
      <w:pPr>
        <w:spacing w:after="12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論點失效條件：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單月營收連續兩月月減 &gt;10%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毛利率跌回 17% 以下（2025Q3 水位）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毛利率連兩季下滑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法人 2027 EPS 下修 &gt;10%</w:t>
      </w:r>
    </w:p>
    <w:p>
      <w:pPr>
        <w:pStyle w:val="Heading1"/>
        <w:spacing w:after="120" w:before="240"/>
      </w:pPr>
      <w:r>
        <w:rPr>
          <w:rFonts w:ascii="Microsoft JhengHei" w:cs="Microsoft JhengHei" w:eastAsia="Microsoft JhengHei" w:hAnsi="Microsoft JhengHei"/>
        </w:rPr>
        <w:t xml:space="preserve">附錄：資料來源與缺口</w:t>
      </w: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</w:rPr>
        <w:t xml:space="preserve">來源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Bigdata.com 公司 tearsheet（provider FMP，2026-10-01 取用）https://bigdata.com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Kevin workbook：投資組合_2026_09_11_updated.xlsx（Google Drive，Anchor設定／CPO概念／季報調節）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鉅亨網：智邦 8 月營收 408.73 億（2026-09-07）https://news.cnyes.com/news/id/6599372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鉅亨網：智邦 7 月營收 394.73 億（2026-08-06）https://news.cnyes.com/news/id/6562407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經濟日報：智邦第 2 季 EPS 19.78 元 https://money.udn.com/money/story/5710/9675501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FactSet 共識（永豐金豐雲學堂轉載）https://www.sinotrade.com.tw/richclub/news/6a75282cb17ee73678e2aed3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工商時報（凱基、外資報告，經 Bigdata.com 檢索）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Celestica FY2025 10-K（SEC，經 Bigdata.com 檢索）</w:t>
      </w:r>
    </w:p>
    <w:p>
      <w:pPr>
        <w:pStyle w:val="Heading2"/>
        <w:spacing w:after="80" w:before="160"/>
      </w:pPr>
      <w:r>
        <w:rPr>
          <w:rFonts w:ascii="Microsoft JhengHei" w:cs="Microsoft JhengHei" w:eastAsia="Microsoft JhengHei" w:hAnsi="Microsoft JhengHei"/>
        </w:rPr>
        <w:t xml:space="preserve">未完成與缺口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官方身分查核（MOPS 公司基本資料）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MOPS 2026Q2 財報原檔逐項核對（已用 workbook 季報調節頁與 FMP 交叉）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9月營收（10/10 前公告）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Q2 法說會逐字稿/簡報（Bigdata 未收錄）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同業估值數字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大盤 PE 最新值（workbook 取 7/09 水位）</w:t>
      </w:r>
    </w:p>
    <w:p/>
    <w:p>
      <w:pPr>
        <w:spacing w:after="120"/>
        <w:rPr>
          <w:i/>
          <w:iCs/>
        </w:rPr>
      </w:pPr>
      <w:r>
        <w:rPr>
          <w:rFonts w:ascii="Microsoft JhengHei" w:cs="Microsoft JhengHei" w:eastAsia="Microsoft JhengHei" w:hAnsi="Microsoft JhengHei"/>
          <w:i/>
          <w:iCs/>
          <w:sz w:val="21"/>
          <w:szCs w:val="21"/>
        </w:rPr>
        <w:t xml:space="preserve">本報告為 Kevin 個人模型試算與研究筆記，非投資建議。</w:t>
      </w:r>
    </w:p>
    <w:sectPr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2026-10-01T16:23:24.541Z</dcterms:created>
  <dcterms:modified xsi:type="dcterms:W3CDTF">2026-10-01T16:23:24.541Z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