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Microsoft JhengHei" w:hAnsi="Arial"/>
          <w:b/>
          <w:bCs/>
          <w:color w:val="028090"/>
          <w:sz w:val="40"/>
          <w:szCs w:val="40"/>
        </w:rPr>
        <w:t xml:space="preserve">竹陞主要產品｜工藝與工程規格</w:t>
      </w:r>
    </w:p>
    <w:p>
      <w:pPr>
        <w:spacing w:after="60"/>
      </w:pPr>
      <w:r>
        <w:rPr>
          <w:rFonts w:ascii="Arial" w:cs="Arial" w:eastAsia="Microsoft JhengHei" w:hAnsi="Arial"/>
          <w:color w:val="5B7077"/>
          <w:sz w:val="22"/>
          <w:szCs w:val="22"/>
        </w:rPr>
        <w:t xml:space="preserve">竹陞科技（TPEX:6739）｜比照《健策3653研究》工程圖解格式</w:t>
      </w:r>
    </w:p>
    <w:p>
      <w:pPr>
        <w:pBdr>
          <w:bottom w:val="single" w:color="028090" w:sz="12" w:space="4"/>
        </w:pBdr>
        <w:spacing w:after="240"/>
      </w:pPr>
      <w:r>
        <w:rPr>
          <w:rFonts w:ascii="Arial" w:cs="Arial" w:eastAsia="Microsoft JhengHei" w:hAnsi="Arial"/>
          <w:color w:val="5B7077"/>
          <w:sz w:val="18"/>
          <w:szCs w:val="18"/>
        </w:rPr>
        <w:t xml:space="preserve">資料截止：2026-10-02｜主要依據：2025 年報 p.70–76、2025 年度合併財報、2026Q2 合併季報、2026-09-09 法說整理</w:t>
      </w:r>
    </w:p>
    <w:p>
      <w:pPr>
        <w:pStyle w:val="Heading1"/>
      </w:pPr>
      <w:r>
        <w:rPr>
          <w:rFonts w:ascii="Arial" w:cs="Arial" w:eastAsia="Microsoft JhengHei" w:hAnsi="Arial"/>
        </w:rPr>
        <w:t xml:space="preserve">一、摘要</w:t>
      </w:r>
    </w:p>
    <w:p>
      <w:pPr>
        <w:spacing w:after="120" w:line="300"/>
      </w:pPr>
      <w:r>
        <w:rPr>
          <w:rFonts w:ascii="Arial" w:cs="Arial" w:eastAsia="Microsoft JhengHei" w:hAnsi="Arial"/>
          <w:b/>
          <w:bCs/>
        </w:rPr>
        <w:t xml:space="preserve">竹陞的「工藝」不是材料加工，而是半導體機台的系統整合工程：</w:t>
      </w:r>
      <w:r>
        <w:rPr>
          <w:rFonts w:ascii="Arial" w:cs="Arial" w:eastAsia="Microsoft JhengHei" w:hAnsi="Arial"/>
        </w:rPr>
        <w:t xml:space="preserve">在不同品牌、不同年代的機台上加裝操作、感測與 AI 判讀，再把可用的 SOP 劇本與模型複製到上千台機台。年報列出的服務流程為：系統整併規劃 → 系統設計 → 供應設備製作與銷售 → 廠房設備施工安裝與測試 → 系統保養維護。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9"/>
        <w:gridCol w:w="1546"/>
        <w:gridCol w:w="951"/>
        <w:gridCol w:w="1546"/>
        <w:gridCol w:w="951"/>
        <w:gridCol w:w="1075"/>
      </w:tblGrid>
      <w:tr>
        <w:trPr>
          <w:tblHeader/>
        </w:trPr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產品線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2024 營收（千元）</w:t>
            </w:r>
          </w:p>
        </w:tc>
        <w:tc>
          <w:tcPr>
            <w:tcW w:type="dxa" w:w="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占比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2025 營收（千元）</w:t>
            </w:r>
          </w:p>
        </w:tc>
        <w:tc>
          <w:tcPr>
            <w:tcW w:type="dxa" w:w="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占比</w:t>
            </w:r>
          </w:p>
        </w:tc>
        <w:tc>
          <w:tcPr>
            <w:tcW w:type="dxa" w:w="1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YoY</w:t>
            </w:r>
          </w:p>
        </w:tc>
      </w:tr>
      <w:tr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智能自動操作系統（AI：GoBot＋iRPA）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193,379</w:t>
            </w:r>
          </w:p>
        </w:tc>
        <w:tc>
          <w:tcPr>
            <w:tcW w:type="dxa" w:w="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47.2%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293,750</w:t>
            </w:r>
          </w:p>
        </w:tc>
        <w:tc>
          <w:tcPr>
            <w:tcW w:type="dxa" w:w="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36.5%</w:t>
            </w:r>
          </w:p>
        </w:tc>
        <w:tc>
          <w:tcPr>
            <w:tcW w:type="dxa" w:w="1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+51.9%</w:t>
            </w:r>
          </w:p>
        </w:tc>
      </w:tr>
      <w:tr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製程數據採集系統（IoT：AIoT＋iLinkPLC）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158,588</w:t>
            </w:r>
          </w:p>
        </w:tc>
        <w:tc>
          <w:tcPr>
            <w:tcW w:type="dxa" w:w="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38.7%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253,147</w:t>
            </w:r>
          </w:p>
        </w:tc>
        <w:tc>
          <w:tcPr>
            <w:tcW w:type="dxa" w:w="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31.4%</w:t>
            </w:r>
          </w:p>
        </w:tc>
        <w:tc>
          <w:tcPr>
            <w:tcW w:type="dxa" w:w="1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+59.6%</w:t>
            </w:r>
          </w:p>
        </w:tc>
      </w:tr>
      <w:tr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智能化（GoVision）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56,867</w:t>
            </w:r>
          </w:p>
        </w:tc>
        <w:tc>
          <w:tcPr>
            <w:tcW w:type="dxa" w:w="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13.9%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257,638</w:t>
            </w:r>
          </w:p>
        </w:tc>
        <w:tc>
          <w:tcPr>
            <w:tcW w:type="dxa" w:w="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32.0%</w:t>
            </w:r>
          </w:p>
        </w:tc>
        <w:tc>
          <w:tcPr>
            <w:tcW w:type="dxa" w:w="1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+353.1%</w:t>
            </w:r>
          </w:p>
        </w:tc>
      </w:tr>
      <w:tr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其他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754</w:t>
            </w:r>
          </w:p>
        </w:tc>
        <w:tc>
          <w:tcPr>
            <w:tcW w:type="dxa" w:w="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0.2%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1,102</w:t>
            </w:r>
          </w:p>
        </w:tc>
        <w:tc>
          <w:tcPr>
            <w:tcW w:type="dxa" w:w="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0.1%</w:t>
            </w:r>
          </w:p>
        </w:tc>
        <w:tc>
          <w:tcPr>
            <w:tcW w:type="dxa" w:w="1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合計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409,588</w:t>
            </w:r>
          </w:p>
        </w:tc>
        <w:tc>
          <w:tcPr>
            <w:tcW w:type="dxa" w:w="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15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805,637</w:t>
            </w:r>
          </w:p>
        </w:tc>
        <w:tc>
          <w:tcPr>
            <w:tcW w:type="dxa" w:w="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1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+96.7%</w:t>
            </w:r>
          </w:p>
        </w:tc>
      </w:tr>
    </w:tbl>
    <w:p>
      <w:pPr>
        <w:pStyle w:val="Heading1"/>
      </w:pPr>
      <w:r>
        <w:rPr>
          <w:rFonts w:ascii="Arial" w:cs="Arial" w:eastAsia="Microsoft JhengHei" w:hAnsi="Arial"/>
        </w:rPr>
        <w:t xml:space="preserve">二、產品工程規格總表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2141"/>
        <w:gridCol w:w="2141"/>
        <w:gridCol w:w="2141"/>
        <w:gridCol w:w="1930"/>
      </w:tblGrid>
      <w:tr>
        <w:trPr>
          <w:tblHeader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GoBot＋iRPA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GoVision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AIoT＋iLinkPLC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光阻液防呆系統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AI 類別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Agentic AI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Agentic AI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Physical AI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—（管理系統）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核心功能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機台 GUI 遠端／自動操作；SOP 劇本；換刀；400+ 種 Alarm 排除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AI 視覺（水平、裂痕破片、塗佈均勻、手臂軌跡）、聽覺（聲紋預警）、嗅覺（VOC）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溫度、濕度、壓力、氣體等製程與環境數據採集；PLC 聯網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光阻液進出站狀態追蹤、防止誤用、回溫櫃庫存與位置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硬體組成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邊緣運算主機、影像擷取與輸入控制介面（研究推論）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工業相機、麥克風／振動感測、氣體感測、邊緣運算（研究推論）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多種感測器、資料採集器、iLinkPLC 模組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條碼／標籤讀取、回溫櫃與工作站端點（研究推論）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軟體組成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iRPA 影片轉劇本、劇本驗證微調、工廠劇本管理系統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AI 影像／聲紋／氣味模型，In-Process 判讀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數據平台、戰情室儀表板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管理平台、稽核紀錄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相容範圍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82 個設備品牌、512 種機型；Windows／Linux／UNIX／PLC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同左（跨品牌加裝）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同左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光阻工作站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部署位置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晶圓廠、記憶體、先進封裝各製程站點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黃光塗佈顯影起步，延伸前後段更多站點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機台端＋廠務環境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黃光區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已知裝機量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GoBot 在美系記憶體大廠約 7,000–8,000 台（法人報導）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C2410C"/>
                <w:sz w:val="18"/>
                <w:szCs w:val="18"/>
              </w:rPr>
              <w:t xml:space="preserve">N/A（公司未揭露）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C2410C"/>
                <w:sz w:val="18"/>
                <w:szCs w:val="18"/>
              </w:rPr>
              <w:t xml:space="preserve">N/A；報導稱 MSD 每台 8–16 個感測器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C2410C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精度／規格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C2410C"/>
                <w:sz w:val="18"/>
                <w:szCs w:val="18"/>
              </w:rPr>
              <w:t xml:space="preserve">N/A（公司未揭露反應時間、成功率）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C2410C"/>
                <w:sz w:val="18"/>
                <w:szCs w:val="18"/>
              </w:rPr>
              <w:t xml:space="preserve">N/A（未揭露偵測精度、誤判率）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C2410C"/>
                <w:sz w:val="18"/>
                <w:szCs w:val="18"/>
              </w:rPr>
              <w:t xml:space="preserve">N/A（未揭露取樣頻率）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C2410C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2026 動能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長約＋海外廠（新加坡、美國、日本）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先進封裝、記憶體大廠擴大導入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隨新產線同步建置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Microsoft JhengHei" w:hAnsi="Arial"/>
        </w:rPr>
        <w:t xml:space="preserve">三、系統架構與工作原理</w:t>
      </w:r>
    </w:p>
    <w:p>
      <w:pPr>
        <w:spacing w:after="4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Microsoft JhengHei" w:hAnsi="Arial"/>
          <w:color w:val="5B7077"/>
          <w:sz w:val="17"/>
          <w:szCs w:val="17"/>
        </w:rPr>
        <w:t xml:space="preserve">圖 1：系統架構總覽（設備層 → 操作／感知層 → 邊緣運算 → 工廠系統）</w:t>
      </w:r>
    </w:p>
    <w:p>
      <w:pPr>
        <w:spacing w:after="120" w:line="300"/>
      </w:pPr>
      <w:r>
        <w:rPr>
          <w:rFonts w:ascii="Arial" w:cs="Arial" w:eastAsia="Microsoft JhengHei" w:hAnsi="Arial"/>
        </w:rPr>
        <w:t xml:space="preserve">三條產品線共用同一個邊緣運算平台（Gobot Edge）。機台端即時判斷（In-Process）是竹陞強調的技術點：異常不必先回傳中央系統再判讀，減少延遲，符合晶圓廠對良率與即時反應的要求。上層再串接 MES／EAP 與工業 4.0 戰情室。</w:t>
      </w:r>
    </w:p>
    <w:p>
      <w:pPr>
        <w:pStyle w:val="Heading2"/>
      </w:pPr>
      <w:r>
        <w:rPr>
          <w:rFonts w:ascii="Arial" w:cs="Arial" w:eastAsia="Microsoft JhengHei" w:hAnsi="Arial"/>
        </w:rPr>
        <w:t xml:space="preserve">3.1 GoBot＋iRPA：劇本化操作</w:t>
      </w:r>
    </w:p>
    <w:p>
      <w:pPr>
        <w:spacing w:after="4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Microsoft JhengHei" w:hAnsi="Arial"/>
          <w:color w:val="5B7077"/>
          <w:sz w:val="17"/>
          <w:szCs w:val="17"/>
        </w:rPr>
        <w:t xml:space="preserve">圖 2：iRPA 劇本自動化流程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Microsoft JhengHei" w:hAnsi="Arial"/>
          <w:b/>
          <w:bCs/>
        </w:rPr>
        <w:t xml:space="preserve">A. 影片自動轉劇本：</w:t>
      </w:r>
      <w:r>
        <w:rPr>
          <w:rFonts w:ascii="Arial" w:cs="Arial" w:eastAsia="Microsoft JhengHei" w:hAnsi="Arial"/>
        </w:rPr>
        <w:t xml:space="preserve">把工程師的 SOP 操作影片直接編譯成劇本，取代人工介入。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Microsoft JhengHei" w:hAnsi="Arial"/>
          <w:b/>
          <w:bCs/>
        </w:rPr>
        <w:t xml:space="preserve">B. 劇本自動驗證微調：</w:t>
      </w:r>
      <w:r>
        <w:rPr>
          <w:rFonts w:ascii="Arial" w:cs="Arial" w:eastAsia="Microsoft JhengHei" w:hAnsi="Arial"/>
        </w:rPr>
        <w:t xml:space="preserve">每台機台有機差，平展前由工程師快速微調後上線。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Microsoft JhengHei" w:hAnsi="Arial"/>
          <w:b/>
          <w:bCs/>
        </w:rPr>
        <w:t xml:space="preserve">C–E. AI 視覺／聽覺／嗅覺：</w:t>
      </w:r>
      <w:r>
        <w:rPr>
          <w:rFonts w:ascii="Arial" w:cs="Arial" w:eastAsia="Microsoft JhengHei" w:hAnsi="Arial"/>
        </w:rPr>
        <w:t xml:space="preserve">與 GoVision 共用的感官模組（見 3.2）。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Microsoft JhengHei" w:hAnsi="Arial"/>
          <w:b/>
          <w:bCs/>
        </w:rPr>
        <w:t xml:space="preserve">F. 工廠劇本管理系統：</w:t>
      </w:r>
      <w:r>
        <w:rPr>
          <w:rFonts w:ascii="Arial" w:cs="Arial" w:eastAsia="Microsoft JhengHei" w:hAnsi="Arial"/>
        </w:rPr>
        <w:t xml:space="preserve">上千台機台、無數劇本的集中版本與維運管理。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Microsoft JhengHei" w:hAnsi="Arial"/>
          <w:b/>
          <w:bCs/>
        </w:rPr>
        <w:t xml:space="preserve">G. 綠色智能控制節能：</w:t>
      </w:r>
      <w:r>
        <w:rPr>
          <w:rFonts w:ascii="Arial" w:cs="Arial" w:eastAsia="Microsoft JhengHei" w:hAnsi="Arial"/>
        </w:rPr>
        <w:t xml:space="preserve">結合派貨系統，機台不生產時進入節能模式。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Microsoft JhengHei" w:hAnsi="Arial"/>
          <w:b/>
          <w:bCs/>
        </w:rPr>
        <w:t xml:space="preserve">自動參數補償決策：</w:t>
      </w:r>
      <w:r>
        <w:rPr>
          <w:rFonts w:ascii="Arial" w:cs="Arial" w:eastAsia="Microsoft JhengHei" w:hAnsi="Arial"/>
        </w:rPr>
        <w:t xml:space="preserve">Gobot 升級版功能，機台依訊號自行補償參數，朝關燈生產推進。</w:t>
      </w:r>
    </w:p>
    <w:p>
      <w:pPr>
        <w:pStyle w:val="Heading2"/>
      </w:pPr>
      <w:r>
        <w:rPr>
          <w:rFonts w:ascii="Arial" w:cs="Arial" w:eastAsia="Microsoft JhengHei" w:hAnsi="Arial"/>
        </w:rPr>
        <w:t xml:space="preserve">3.2 GoVision：製程中 AI 感官監控</w:t>
      </w:r>
    </w:p>
    <w:p>
      <w:pPr>
        <w:spacing w:after="4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Microsoft JhengHei" w:hAnsi="Arial"/>
          <w:color w:val="5B7077"/>
          <w:sz w:val="17"/>
          <w:szCs w:val="17"/>
        </w:rPr>
        <w:t xml:space="preserve">圖 3：GoVision 在光阻塗佈製程的監測點（設備為通用示意）</w:t>
      </w:r>
    </w:p>
    <w:p>
      <w:pPr>
        <w:spacing w:after="120" w:line="300"/>
      </w:pPr>
      <w:r>
        <w:rPr>
          <w:rFonts w:ascii="Arial" w:cs="Arial" w:eastAsia="Microsoft JhengHei" w:hAnsi="Arial"/>
        </w:rPr>
        <w:t xml:space="preserve">年報列出的已驗證應用是光阻塗佈製程的 AI 影像辨識（軌跡追蹤）：偵測晶圓水平、裂痕與破片、塗佈液均勻度，以及搬運機械手臂軌跡是否異常。聽覺模組用來在零件與馬達耗損前偵測震動異音；嗅覺模組即時監控 VOC，先進製程對 VOC 更敏感。GoVision 2025 年營收 2.58 億元、年增 353%，是成長最快的產品線。</w:t>
      </w:r>
    </w:p>
    <w:p>
      <w:pPr>
        <w:pStyle w:val="Heading2"/>
      </w:pPr>
      <w:r>
        <w:rPr>
          <w:rFonts w:ascii="Arial" w:cs="Arial" w:eastAsia="Microsoft JhengHei" w:hAnsi="Arial"/>
        </w:rPr>
        <w:t xml:space="preserve">3.3 AIoT＋iLinkPLC：數據採集</w:t>
      </w:r>
    </w:p>
    <w:p>
      <w:pPr>
        <w:spacing w:after="4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Microsoft JhengHei" w:hAnsi="Arial"/>
          <w:color w:val="5B7077"/>
          <w:sz w:val="17"/>
          <w:szCs w:val="17"/>
        </w:rPr>
        <w:t xml:space="preserve">圖 4：機台監控自動化演進四階段</w:t>
      </w:r>
    </w:p>
    <w:p>
      <w:pPr>
        <w:spacing w:after="120" w:line="300"/>
      </w:pPr>
      <w:r>
        <w:rPr>
          <w:rFonts w:ascii="Arial" w:cs="Arial" w:eastAsia="Microsoft JhengHei" w:hAnsi="Arial"/>
        </w:rPr>
        <w:t xml:space="preserve">數據採集是竹陞最早的產品線，也是後續 AI 判讀的資料來源。進階程序從 IoT 採集、遠端監看（RCM）到 GoBot 代操作，再到 Agentic／Physical AI 自主判斷。報導引用的人力節省比例（遠端約省一半、代操約省 90%）不是公司揭露數字，僅供理解量級。</w:t>
      </w:r>
    </w:p>
    <w:p>
      <w:pPr>
        <w:pStyle w:val="Heading2"/>
      </w:pPr>
      <w:r>
        <w:rPr>
          <w:rFonts w:ascii="Arial" w:cs="Arial" w:eastAsia="Microsoft JhengHei" w:hAnsi="Arial"/>
        </w:rPr>
        <w:t xml:space="preserve">3.4 光阻液防呆系統</w:t>
      </w:r>
    </w:p>
    <w:p>
      <w:pPr>
        <w:spacing w:after="4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Microsoft JhengHei" w:hAnsi="Arial"/>
          <w:color w:val="5B7077"/>
          <w:sz w:val="17"/>
          <w:szCs w:val="17"/>
        </w:rPr>
        <w:t xml:space="preserve">圖 5：光阻液防呆系統架構</w:t>
      </w:r>
    </w:p>
    <w:p>
      <w:pPr>
        <w:spacing w:after="120" w:line="300"/>
      </w:pPr>
      <w:r>
        <w:rPr>
          <w:rFonts w:ascii="Arial" w:cs="Arial" w:eastAsia="Microsoft JhengHei" w:hAnsi="Arial"/>
        </w:rPr>
        <w:t xml:space="preserve">10cP 正光阻每公升約 NT$24 萬元，塗佈品質直接影響微影良率。系統追蹤光阻液在回溫櫃與光阻工作站之間的狀態，防止誤用不同類型光阻，並讓使用者即時掌握各回溫櫃的數量與位置。</w:t>
      </w:r>
    </w:p>
    <w:p>
      <w:r>
        <w:br w:type="page"/>
      </w:r>
    </w:p>
    <w:p>
      <w:pPr>
        <w:pStyle w:val="Heading1"/>
      </w:pPr>
      <w:r>
        <w:rPr>
          <w:rFonts w:ascii="Arial" w:cs="Arial" w:eastAsia="Microsoft JhengHei" w:hAnsi="Arial"/>
        </w:rPr>
        <w:t xml:space="preserve">四、交付工藝流程（專案型）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2471"/>
        <w:gridCol w:w="2718"/>
        <w:gridCol w:w="2843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步驟</w:t>
            </w:r>
          </w:p>
        </w:tc>
        <w:tc>
          <w:tcPr>
            <w:tcW w:type="dxa" w:w="2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內容（年報 p.71）</w:t>
            </w:r>
          </w:p>
        </w:tc>
        <w:tc>
          <w:tcPr>
            <w:tcW w:type="dxa" w:w="2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工程重點</w:t>
            </w:r>
          </w:p>
        </w:tc>
        <w:tc>
          <w:tcPr>
            <w:tcW w:type="dxa" w:w="2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對財報的影響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1 系統整併規劃</w:t>
            </w:r>
          </w:p>
        </w:tc>
        <w:tc>
          <w:tcPr>
            <w:tcW w:type="dxa" w:w="2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盤點客戶既有機台、系統與痛點</w:t>
            </w:r>
          </w:p>
        </w:tc>
        <w:tc>
          <w:tcPr>
            <w:tcW w:type="dxa" w:w="2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Early Involvement：Pilot Run 階段即參與</w:t>
            </w:r>
          </w:p>
        </w:tc>
        <w:tc>
          <w:tcPr>
            <w:tcW w:type="dxa" w:w="2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前期投入列研發／推銷費用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2 系統設計</w:t>
            </w:r>
          </w:p>
        </w:tc>
        <w:tc>
          <w:tcPr>
            <w:tcW w:type="dxa" w:w="2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依機型與製程站點客製</w:t>
            </w:r>
          </w:p>
        </w:tc>
        <w:tc>
          <w:tcPr>
            <w:tcW w:type="dxa" w:w="2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跨品牌 GUI、PLC 與上位機介面</w:t>
            </w:r>
          </w:p>
        </w:tc>
        <w:tc>
          <w:tcPr>
            <w:tcW w:type="dxa" w:w="2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客製化程度高、轉換成本高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3 設備製作與銷售</w:t>
            </w:r>
          </w:p>
        </w:tc>
        <w:tc>
          <w:tcPr>
            <w:tcW w:type="dxa" w:w="2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感測、擷取與運算硬體備料組裝</w:t>
            </w:r>
          </w:p>
        </w:tc>
        <w:tc>
          <w:tcPr>
            <w:tcW w:type="dxa" w:w="2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模組化設計降低客製成本</w:t>
            </w:r>
          </w:p>
        </w:tc>
        <w:tc>
          <w:tcPr>
            <w:tcW w:type="dxa" w:w="2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存貨：原料 4,162 萬、在製品 9,803 萬（2025 年底，成本）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4 施工安裝與測試</w:t>
            </w:r>
          </w:p>
        </w:tc>
        <w:tc>
          <w:tcPr>
            <w:tcW w:type="dxa" w:w="2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無塵室內安裝、劇本與模型調校</w:t>
            </w:r>
          </w:p>
        </w:tc>
        <w:tc>
          <w:tcPr>
            <w:tcW w:type="dxa" w:w="2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機差微調、驗收</w:t>
            </w:r>
          </w:p>
        </w:tc>
        <w:tc>
          <w:tcPr>
            <w:tcW w:type="dxa" w:w="2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驗收時點認列收入（某一時點）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5 保養維護</w:t>
            </w:r>
          </w:p>
        </w:tc>
        <w:tc>
          <w:tcPr>
            <w:tcW w:type="dxa" w:w="24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劇本庫擴充、Alarm 新增、版本更新</w:t>
            </w:r>
          </w:p>
        </w:tc>
        <w:tc>
          <w:tcPr>
            <w:tcW w:type="dxa" w:w="2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維運與擴機</w:t>
            </w:r>
          </w:p>
        </w:tc>
        <w:tc>
          <w:tcPr>
            <w:tcW w:type="dxa" w:w="2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維運收入未單獨揭露；另有租賃收入 1,755 萬（出租資產，隨時間認列）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Arial" w:cs="Arial" w:eastAsia="Microsoft JhengHei" w:hAnsi="Arial"/>
          <w:b/>
          <w:bCs/>
        </w:rPr>
        <w:t xml:space="preserve">存貨結構說明：</w:t>
      </w:r>
      <w:r>
        <w:rPr>
          <w:rFonts w:ascii="Arial" w:cs="Arial" w:eastAsia="Microsoft JhengHei" w:hAnsi="Arial"/>
        </w:rPr>
        <w:t xml:space="preserve">2025 年底存貨成本 1.66 億元（原料 0.42、在製品 0.98、製成品 0.16、商品 0.10 億元），已提列跌價損失 0.47 億元，帳面 1.18 億元。在製品占比最高，符合「備料 → 現場安裝 → 驗收認列」的專案型交付；會計師也把存貨評價與收入認列時點列為關鍵查核事項。</w:t>
      </w:r>
    </w:p>
    <w:p>
      <w:pPr>
        <w:spacing w:after="4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Microsoft JhengHei" w:hAnsi="Arial"/>
          <w:color w:val="5B7077"/>
          <w:sz w:val="17"/>
          <w:szCs w:val="17"/>
        </w:rPr>
        <w:t xml:space="preserve">圖 6：導入流程與商業模式</w:t>
      </w:r>
    </w:p>
    <w:p>
      <w:pPr>
        <w:pStyle w:val="Heading1"/>
      </w:pPr>
      <w:r>
        <w:rPr>
          <w:rFonts w:ascii="Arial" w:cs="Arial" w:eastAsia="Microsoft JhengHei" w:hAnsi="Arial"/>
        </w:rPr>
        <w:t xml:space="preserve">五、產業位置與技術門檻</w:t>
      </w:r>
    </w:p>
    <w:p>
      <w:pPr>
        <w:spacing w:after="4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Microsoft JhengHei" w:hAnsi="Arial"/>
          <w:color w:val="5B7077"/>
          <w:sz w:val="17"/>
          <w:szCs w:val="17"/>
        </w:rPr>
        <w:t xml:space="preserve">圖 7：產業價值鏈位置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9"/>
        <w:gridCol w:w="5072"/>
        <w:gridCol w:w="2537"/>
      </w:tblGrid>
      <w:tr>
        <w:trPr>
          <w:tblHeader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門檻</w:t>
            </w:r>
          </w:p>
        </w:tc>
        <w:tc>
          <w:tcPr>
            <w:tcW w:type="dxa" w:w="5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2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可被複製的難度</w:t>
            </w:r>
          </w:p>
        </w:tc>
      </w:tr>
      <w:t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跨品牌相容資料庫</w:t>
            </w:r>
          </w:p>
        </w:tc>
        <w:tc>
          <w:tcPr>
            <w:tcW w:type="dxa" w:w="5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82 品牌、512 機型的整合經驗</w:t>
            </w:r>
          </w:p>
        </w:tc>
        <w:tc>
          <w:tcPr>
            <w:tcW w:type="dxa" w:w="2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高：需長年在客戶現場累積</w:t>
            </w:r>
          </w:p>
        </w:tc>
      </w:tr>
      <w:t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半導體製程 know-how</w:t>
            </w:r>
          </w:p>
        </w:tc>
        <w:tc>
          <w:tcPr>
            <w:tcW w:type="dxa" w:w="5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核心團隊在晶圓廠製程深耕逾 20 年（董事長曾任聯電黃光技術委員會召集人）</w:t>
            </w:r>
          </w:p>
        </w:tc>
        <w:tc>
          <w:tcPr>
            <w:tcW w:type="dxa" w:w="2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</w:tr>
      <w:t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客戶標配地位</w:t>
            </w:r>
          </w:p>
        </w:tc>
        <w:tc>
          <w:tcPr>
            <w:tcW w:type="dxa" w:w="5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H 客戶占 2025 營收 67%，長約與裝機基礎</w:t>
            </w:r>
          </w:p>
        </w:tc>
        <w:tc>
          <w:tcPr>
            <w:tcW w:type="dxa" w:w="2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中：取決於客戶是否自建或改用原廠方案</w:t>
            </w:r>
          </w:p>
        </w:tc>
      </w:tr>
      <w:t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000000"/>
                <w:sz w:val="18"/>
                <w:szCs w:val="18"/>
              </w:rPr>
              <w:t xml:space="preserve">資安與權限</w:t>
            </w:r>
          </w:p>
        </w:tc>
        <w:tc>
          <w:tcPr>
            <w:tcW w:type="dxa" w:w="5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機台操作涉及生產安全，需通過客戶資安規範</w:t>
            </w:r>
          </w:p>
        </w:tc>
        <w:tc>
          <w:tcPr>
            <w:tcW w:type="dxa" w:w="2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</w:tr>
    </w:tbl>
    <w:p>
      <w:pPr>
        <w:pStyle w:val="Heading1"/>
      </w:pPr>
      <w:r>
        <w:rPr>
          <w:rFonts w:ascii="Arial" w:cs="Arial" w:eastAsia="Microsoft JhengHei" w:hAnsi="Arial"/>
        </w:rPr>
        <w:t xml:space="preserve">六、規格缺口（待法說簡報或產品型錄補齊）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3212"/>
        <w:gridCol w:w="3856"/>
      </w:tblGrid>
      <w:tr>
        <w:trPr>
          <w:tblHeader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缺口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2809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/>
                <w:bCs/>
                <w:color w:val="FFFFFF"/>
                <w:sz w:val="18"/>
                <w:szCs w:val="18"/>
              </w:rPr>
              <w:t xml:space="preserve">建議來源</w:t>
            </w:r>
          </w:p>
        </w:tc>
      </w:tr>
      <w:t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color w:val="000000"/>
                <w:sz w:val="18"/>
                <w:szCs w:val="18"/>
              </w:rPr>
              <w:t xml:space="preserve">各產品單價與毛利率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拆解營收成長是量還是價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法說會 Q&amp;A、年報產銷量值表（p.79 後，本次文字未取得）</w:t>
            </w:r>
          </w:p>
        </w:tc>
      </w:tr>
      <w:t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color w:val="000000"/>
                <w:sz w:val="18"/>
                <w:szCs w:val="18"/>
              </w:rPr>
              <w:t xml:space="preserve">裝機台數與滲透率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估算 TAM 與剩餘空間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法說會、客戶擴廠計畫</w:t>
            </w:r>
          </w:p>
        </w:tc>
      </w:tr>
      <w:t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color w:val="000000"/>
                <w:sz w:val="18"/>
                <w:szCs w:val="18"/>
              </w:rPr>
              <w:t xml:space="preserve">AI 偵測精度、誤判率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評估 GoVision 技術領先程度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技術簡報、客戶案例</w:t>
            </w:r>
          </w:p>
        </w:tc>
      </w:tr>
      <w:t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color w:val="000000"/>
                <w:sz w:val="18"/>
                <w:szCs w:val="18"/>
              </w:rPr>
              <w:t xml:space="preserve">主要原料與供應商集中度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供應風險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9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年報「主要原料之供應狀況」（p.79 後）</w:t>
            </w:r>
          </w:p>
        </w:tc>
      </w:tr>
      <w:t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color w:val="000000"/>
                <w:sz w:val="18"/>
                <w:szCs w:val="18"/>
              </w:rPr>
              <w:t xml:space="preserve">海外營收與經銷商結構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海外擴張驗證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Microsoft JhengHei" w:hAnsi="Arial"/>
                <w:b w:val="false"/>
                <w:bCs w:val="false"/>
                <w:color w:val="000000"/>
                <w:sz w:val="18"/>
                <w:szCs w:val="18"/>
              </w:rPr>
              <w:t xml:space="preserve">年報產銷概況、法說</w:t>
            </w:r>
          </w:p>
        </w:tc>
      </w:tr>
    </w:tbl>
    <w:p>
      <w:pPr>
        <w:pStyle w:val="Heading1"/>
      </w:pPr>
      <w:r>
        <w:rPr>
          <w:rFonts w:ascii="Arial" w:cs="Arial" w:eastAsia="Microsoft JhengHei" w:hAnsi="Arial"/>
        </w:rPr>
        <w:t xml:space="preserve">七、來源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Microsoft JhengHei" w:hAnsi="Arial"/>
        </w:rPr>
        <w:t xml:space="preserve">竹陞科技 2025 年報（分類PDF/01_年報/竹陞_6739_2025_年報_中文.pdf）p.1–5、p.70–76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Microsoft JhengHei" w:hAnsi="Arial"/>
        </w:rPr>
        <w:t xml:space="preserve">竹陞科技 2025 年度合併財報（分類PDF/02_年度財報）附註六（四）存貨、六（十七）營業收入、十四（七）重要客戶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Microsoft JhengHei" w:hAnsi="Arial"/>
        </w:rPr>
        <w:t xml:space="preserve">竹陞科技 2026Q2 合併季報（分類PDF/03_季報）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Microsoft JhengHei" w:hAnsi="Arial"/>
        </w:rPr>
        <w:t xml:space="preserve">2026-09-09 法人說明會整理（Verkita）、MoneyDJ 2026-08-12／09-10、工商時報 2026-09-05／09-11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Microsoft JhengHei" w:hAnsi="Arial"/>
        </w:rPr>
        <w:t xml:space="preserve">金融阮實力產業報導（人力節省比例、感測器數量，非公司揭露）</w:t>
      </w:r>
    </w:p>
    <w:p>
      <w:pPr>
        <w:shd w:fill="F2F2F2" w:color="auto" w:val="clear"/>
        <w:spacing w:before="160"/>
      </w:pPr>
      <w:r>
        <w:rPr>
          <w:rFonts w:ascii="Arial" w:cs="Arial" w:eastAsia="Microsoft JhengHei" w:hAnsi="Arial"/>
          <w:color w:val="404040"/>
          <w:sz w:val="18"/>
          <w:szCs w:val="18"/>
        </w:rPr>
        <w:t xml:space="preserve">本文件為研究用工程整理，示意圖非公司原圖；非投資建議。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JhengHei" w:hAnsi="Arial"/>
        <w:color w:val="5B7077"/>
        <w:sz w:val="16"/>
        <w:szCs w:val="16"/>
      </w:rPr>
      <w:t xml:space="preserve">竹陞主要產品｜工藝與工程規格｜第 </w:t>
    </w:r>
    <w:r>
      <w:rPr>
        <w:rFonts w:ascii="Arial" w:cs="Arial" w:eastAsia="Microsoft JhengHei" w:hAnsi="Arial"/>
        <w:color w:val="5B7077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Microsoft JhengHei" w:hAnsi="Arial"/>
        <w:color w:val="5B7077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JhengHei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Arial" w:cs="Arial" w:eastAsia="Microsoft JhengHei" w:hAnsi="Arial"/>
      <w:b/>
      <w:bCs/>
      <w:color w:val="02809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00"/>
      <w:outlineLvl w:val="1"/>
    </w:pPr>
    <w:rPr>
      <w:rFonts w:ascii="Arial" w:cs="Arial" w:eastAsia="Microsoft JhengHei" w:hAnsi="Arial"/>
      <w:b/>
      <w:bCs/>
      <w:color w:val="00A896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9e21f012888c0a2aa4494ec7ff20783b46ffffa.png"/><Relationship Id="rId9" Type="http://schemas.openxmlformats.org/officeDocument/2006/relationships/image" Target="media/d1e83e31f9d897557b56f10d8bb8dcfdbdea12e3.png"/><Relationship Id="rId10" Type="http://schemas.openxmlformats.org/officeDocument/2006/relationships/image" Target="media/284ae1d632ad2c4278cc2a3c70c8d403a133abdb.png"/><Relationship Id="rId11" Type="http://schemas.openxmlformats.org/officeDocument/2006/relationships/image" Target="media/2cbda0a4576a61f65a0990990e516a7c8867f77d.png"/><Relationship Id="rId12" Type="http://schemas.openxmlformats.org/officeDocument/2006/relationships/image" Target="media/9cea2822f5eb875818d422bf6fa2297cba5481d9.png"/><Relationship Id="rId13" Type="http://schemas.openxmlformats.org/officeDocument/2006/relationships/image" Target="media/6e4208b9c8395649e3f299f79dcab0833830cbdb.png"/><Relationship Id="rId14" Type="http://schemas.openxmlformats.org/officeDocument/2006/relationships/image" Target="media/62f81076394daa3abef495fb5c3f6bbd8ed91730.png"/><Relationship Id="rId15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2026-10-02T06:12:24.028Z</dcterms:created>
  <dcterms:modified xsi:type="dcterms:W3CDTF">2026-10-02T06:12:24.035Z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