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軟正黑體" w:hAnsi="微軟正黑體" w:eastAsia="微軟正黑體" w:cs="微軟正黑體"/>
          <w:b/>
          <w:sz w:val="44"/>
        </w:rPr>
        <w:t>京元電子（2449）個股研究報告</w:t>
      </w:r>
    </w:p>
    <w:p>
      <w:r>
        <w:rPr>
          <w:rFonts w:ascii="微軟正黑體" w:hAnsi="微軟正黑體" w:eastAsia="微軟正黑體" w:cs="微軟正黑體"/>
          <w:b w:val="0"/>
          <w:color w:val="55606A"/>
          <w:sz w:val="20"/>
        </w:rPr>
        <w:t>資料截止 2026-10-02｜產業模組 osat（純測試）｜Kevin 股價模型 2026-10 版（CPO 00891 錨定）｜金額 NT$，另註者除外｜狀態：provisional（公司身分未以官方 URL 查核）</w:t>
      </w:r>
    </w:p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一、核心結論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/>
          <w:sz w:val="21"/>
        </w:rPr>
        <w:t>基本面：創高且加速。</w:t>
      </w:r>
      <w:r>
        <w:rPr>
          <w:rFonts w:ascii="微軟正黑體" w:hAnsi="微軟正黑體" w:eastAsia="微軟正黑體" w:cs="微軟正黑體"/>
          <w:b w:val="0"/>
          <w:sz w:val="21"/>
        </w:rPr>
        <w:t xml:space="preserve"> 1–8 月營收 294.04 億元（+35.5%），115Q2 營收 111.4 億（季增 9.3%、年增 33.2%），115H1 毛利率 39.6%、合併淨利率 22.4%、EPS 3.91 元。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/>
          <w:sz w:val="21"/>
        </w:rPr>
        <w:t>Kevin 模型：股價明顯超前。</w:t>
      </w:r>
      <w:r>
        <w:rPr>
          <w:rFonts w:ascii="微軟正黑體" w:hAnsi="微軟正黑體" w:eastAsia="微軟正黑體" w:cs="微軟正黑體"/>
          <w:b w:val="0"/>
          <w:sz w:val="21"/>
        </w:rPr>
        <w:t xml:space="preserve"> CPO 錨定、基期 J 6.23（除權追溯）下，情境 A（1–8 月年化）</w:t>
      </w:r>
      <w:r>
        <w:rPr>
          <w:rFonts w:ascii="微軟正黑體" w:hAnsi="微軟正黑體" w:eastAsia="微軟正黑體" w:cs="微軟正黑體"/>
          <w:b/>
          <w:sz w:val="21"/>
        </w:rPr>
        <w:t>184.8 元</w:t>
      </w:r>
      <w:r>
        <w:rPr>
          <w:rFonts w:ascii="微軟正黑體" w:hAnsi="微軟正黑體" w:eastAsia="微軟正黑體" w:cs="微軟正黑體"/>
          <w:b w:val="0"/>
          <w:sz w:val="21"/>
        </w:rPr>
        <w:t>、情境 B（7–8 月動能）</w:t>
      </w:r>
      <w:r>
        <w:rPr>
          <w:rFonts w:ascii="微軟正黑體" w:hAnsi="微軟正黑體" w:eastAsia="微軟正黑體" w:cs="微軟正黑體"/>
          <w:b/>
          <w:sz w:val="21"/>
        </w:rPr>
        <w:t>195.5 元</w:t>
      </w:r>
      <w:r>
        <w:rPr>
          <w:rFonts w:ascii="微軟正黑體" w:hAnsi="微軟正黑體" w:eastAsia="微軟正黑體" w:cs="微軟正黑體"/>
          <w:b w:val="0"/>
          <w:sz w:val="21"/>
        </w:rPr>
        <w:t>，對 10/2 收盤 295.5 元為 −37.5%／−33.8%。workbook 口徑 J 6.55 為 176.6／187.3 元，與 workbook 9/11 版股價 A／B 188／166 一致。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/>
          <w:sz w:val="21"/>
        </w:rPr>
        <w:t>股價在押什麼：</w:t>
      </w:r>
      <w:r>
        <w:rPr>
          <w:rFonts w:ascii="微軟正黑體" w:hAnsi="微軟正黑體" w:eastAsia="微軟正黑體" w:cs="微軟正黑體"/>
          <w:b w:val="0"/>
          <w:sz w:val="21"/>
        </w:rPr>
        <w:t xml:space="preserve"> 以情境 A 參數反解，295.5 元隱含年化營收約 </w:t>
      </w:r>
      <w:r>
        <w:rPr>
          <w:rFonts w:ascii="微軟正黑體" w:hAnsi="微軟正黑體" w:eastAsia="微軟正黑體" w:cs="微軟正黑體"/>
          <w:b/>
          <w:sz w:val="21"/>
        </w:rPr>
        <w:t>578.8 億（月 48.2 億）</w:t>
      </w:r>
      <w:r>
        <w:rPr>
          <w:rFonts w:ascii="微軟正黑體" w:hAnsi="微軟正黑體" w:eastAsia="微軟正黑體" w:cs="微軟正黑體"/>
          <w:b w:val="0"/>
          <w:sz w:val="21"/>
        </w:rPr>
        <w:t>，比 8 月 40.8 億高 18%；或在現有營收下需要合併淨利率約 29%。等於市場已提前計價 Rubin 與頭份／楊梅／銅鑼五廠 2026Q4–2027 放量。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/>
          <w:sz w:val="21"/>
        </w:rPr>
        <w:t>你的模型與 workbook 的口徑差異：</w:t>
      </w:r>
      <w:r>
        <w:rPr>
          <w:rFonts w:ascii="微軟正黑體" w:hAnsi="微軟正黑體" w:eastAsia="微軟正黑體" w:cs="微軟正黑體"/>
          <w:b w:val="0"/>
          <w:sz w:val="21"/>
        </w:rPr>
        <w:t xml:space="preserve"> workbook 股本 I 用除權後 12,838,824 千元（正確），但 J 6.5 是除權前股數算的繼續營業 EPS；兩者不同口徑會把 EPS 成長率低估約 5ppt。本報告主版改用 J 6.23（8,004,710 ÷ 1,283,882 千股），workbook 版並列。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/>
          <w:sz w:val="21"/>
        </w:rPr>
        <w:t>操作含義（非建議）：</w:t>
      </w:r>
      <w:r>
        <w:rPr>
          <w:rFonts w:ascii="微軟正黑體" w:hAnsi="微軟正黑體" w:eastAsia="微軟正黑體" w:cs="微軟正黑體"/>
          <w:b w:val="0"/>
          <w:sz w:val="21"/>
        </w:rPr>
        <w:t xml:space="preserve"> 這是「好公司、貴價格」。Kevin 模型要追上股價，需月營收連兩月站上約 48 億且毛利率守 39%；在那之前，股價風險在 Rubin 時程與新廠稼動。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26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數值</w:t>
            </w:r>
          </w:p>
        </w:tc>
        <w:tc>
          <w:tcPr>
            <w:tcW w:type="dxa" w:w="226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55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數值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收盤價（10/2）</w:t>
            </w:r>
          </w:p>
        </w:tc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295.5 元</w:t>
            </w:r>
          </w:p>
        </w:tc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市值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3,793.9 億元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情境 A／B（J 6.23）</w:t>
            </w:r>
          </w:p>
        </w:tc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184.8／195.5 元</w:t>
            </w:r>
          </w:p>
        </w:tc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情境 A／B（J 6.55）</w:t>
            </w:r>
          </w:p>
        </w:tc>
        <w:tc>
          <w:tcPr>
            <w:tcW w:type="dxa" w:w="255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176.6／187.3 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TTM P/E（除權追溯）</w:t>
            </w:r>
          </w:p>
        </w:tc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40.7x</w:t>
            </w:r>
          </w:p>
        </w:tc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P/B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6.05x（BVPS 48.81）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1H26 合併淨利率 H</w:t>
            </w:r>
          </w:p>
        </w:tc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22.40%</w:t>
            </w:r>
          </w:p>
        </w:tc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W（歸母÷合併）</w:t>
            </w:r>
          </w:p>
        </w:tc>
        <w:tc>
          <w:tcPr>
            <w:tcW w:type="dxa" w:w="255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0.99996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股本 I（8/3 除權後）</w:t>
            </w:r>
          </w:p>
        </w:tc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12,838,824 千元</w:t>
            </w:r>
          </w:p>
        </w:tc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非經常性占稅前</w:t>
            </w:r>
          </w:p>
        </w:tc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5.4%（clean）</w:t>
            </w:r>
          </w:p>
        </w:tc>
      </w:tr>
    </w:tbl>
    <w:p/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二、公司概況與營運結構</w:t>
      </w:r>
    </w:p>
    <w:p>
      <w:pPr>
        <w:spacing w:after="80"/>
      </w:pPr>
      <w:r>
        <w:rPr>
          <w:rFonts w:ascii="微軟正黑體" w:hAnsi="微軟正黑體" w:eastAsia="微軟正黑體" w:cs="微軟正黑體"/>
          <w:b w:val="0"/>
          <w:i w:val="0"/>
          <w:sz w:val="21"/>
        </w:rPr>
        <w:t>京元電子成立於 1987 年，總部新竹，2001 年上市；營業項目為晶圓針測、IC 成品測試、Burn-in 預燒、研磨切割與掃腳出貨。2025 年 1 月完成處分中國子公司京隆科技(蘇州)，2025 起合併報表只剩台灣為主的測試業務（停業單位利益 30.53 億）。2025 年全球封測前十大排名第七（MIC，年報 p.86）。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營收結構（年報「營業比重」，千元）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26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58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90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比重</w:t>
            </w:r>
          </w:p>
        </w:tc>
        <w:tc>
          <w:tcPr>
            <w:tcW w:type="dxa" w:w="158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2025</w:t>
            </w:r>
          </w:p>
        </w:tc>
        <w:tc>
          <w:tcPr>
            <w:tcW w:type="dxa" w:w="90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比重</w:t>
            </w:r>
          </w:p>
        </w:tc>
        <w:tc>
          <w:tcPr>
            <w:tcW w:type="dxa" w:w="90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晶圓測試服務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9,498,464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35.37%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10,677,061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30.56%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+12.4%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積體電路測試服務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15,881,020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59.13%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23,206,180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66.43%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+46.1%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其他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1,476,547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5.50%</w:t>
            </w:r>
          </w:p>
        </w:tc>
        <w:tc>
          <w:tcPr>
            <w:tcW w:type="dxa" w:w="158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1,050,305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3.01%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−28.9%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合計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26,856,031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100%</w:t>
            </w:r>
          </w:p>
        </w:tc>
        <w:tc>
          <w:tcPr>
            <w:tcW w:type="dxa" w:w="158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34,933,546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100%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+30.1%</w:t>
            </w:r>
          </w:p>
        </w:tc>
      </w:tr>
    </w:tbl>
    <w:p>
      <w:r>
        <w:rPr>
          <w:rFonts w:ascii="微軟正黑體" w:hAnsi="微軟正黑體" w:eastAsia="微軟正黑體" w:cs="微軟正黑體"/>
          <w:b w:val="0"/>
          <w:color w:val="55606A"/>
          <w:sz w:val="17"/>
        </w:rPr>
        <w:t>來源：2024 年報 p.82、2025 年報 p.84。應用別占比（AI／手機／消費／車用）公司未揭露。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客戶與市場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甲客戶 126.5 億（36%，2024 為 18%）、乙客戶 50.8 億（15%，其董事長為京元電董事長二親等內親屬，屬關係人）；名稱未揭露，本報告不推定（年報 p.91）。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外銷比重 70.57%（2025），逐年上升（年報 p.84）。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員工 8,989 人（2026/3/31，台灣）（年報 p.92）。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技術布局重點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/>
          <w:sz w:val="21"/>
        </w:rPr>
        <w:t>高功耗 Burn-in：</w:t>
      </w:r>
      <w:r>
        <w:rPr>
          <w:rFonts w:ascii="微軟正黑體" w:hAnsi="微軟正黑體" w:eastAsia="微軟正黑體" w:cs="微軟正黑體"/>
          <w:b w:val="0"/>
          <w:sz w:val="21"/>
        </w:rPr>
        <w:t xml:space="preserve"> 自製預燒爐（HP600／HP320／HP320-HV）、液冷預燒板與冷板、KITS 自動上下架；115 年 Burn-in 相關研發計畫 6,000 萬元，占研發計畫 47%（年報 p.107）。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/>
          <w:sz w:val="21"/>
        </w:rPr>
        <w:t>矽光子／CPO：</w:t>
      </w:r>
      <w:r>
        <w:rPr>
          <w:rFonts w:ascii="微軟正黑體" w:hAnsi="微軟正黑體" w:eastAsia="微軟正黑體" w:cs="微軟正黑體"/>
          <w:b w:val="0"/>
          <w:sz w:val="21"/>
        </w:rPr>
        <w:t xml:space="preserve"> 矽光子測試方案 2025 開發成功（晶圓針測光纖陣列對準、FT＋Burn-in），CPO 測試機台預計 115Q4 完成；營收占比未揭露。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/>
          <w:sz w:val="21"/>
        </w:rPr>
        <w:t>高速介面：</w:t>
      </w:r>
      <w:r>
        <w:rPr>
          <w:rFonts w:ascii="微軟正黑體" w:hAnsi="微軟正黑體" w:eastAsia="微軟正黑體" w:cs="微軟正黑體"/>
          <w:b w:val="0"/>
          <w:sz w:val="21"/>
        </w:rPr>
        <w:t xml:space="preserve"> CPHY／MPHY／APHY 影像擷取模組、128 通道 LVDS、&lt;60GHz RF 介面 PCB（年報 p.2、p.86）。</w:t>
      </w:r>
    </w:p>
    <w:p>
      <w:pPr>
        <w:spacing w:after="80"/>
      </w:pPr>
      <w:r>
        <w:rPr>
          <w:rFonts w:ascii="微軟正黑體" w:hAnsi="微軟正黑體" w:eastAsia="微軟正黑體" w:cs="微軟正黑體"/>
          <w:b w:val="0"/>
          <w:i w:val="0"/>
          <w:color w:val="55606A"/>
          <w:sz w:val="19"/>
        </w:rPr>
        <w:t>工程圖解 6 張（測試流程、測試平台、新技術、產能時程、價值鏈、折舊槓桿）見同資料夾 工程圖解/ 與《京元電主要產品_工藝與工程規格.docx》、整合簡報第 9–14 頁。</w:t>
      </w:r>
    </w:p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三、財務表現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近五季損益（億元）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13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季度</w:t>
            </w:r>
          </w:p>
        </w:tc>
        <w:tc>
          <w:tcPr>
            <w:tcW w:type="dxa" w:w="113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營收</w:t>
            </w:r>
          </w:p>
        </w:tc>
        <w:tc>
          <w:tcPr>
            <w:tcW w:type="dxa" w:w="113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毛利率</w:t>
            </w:r>
          </w:p>
        </w:tc>
        <w:tc>
          <w:tcPr>
            <w:tcW w:type="dxa" w:w="113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營益率</w:t>
            </w:r>
          </w:p>
        </w:tc>
        <w:tc>
          <w:tcPr>
            <w:tcW w:type="dxa" w:w="113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業外</w:t>
            </w:r>
          </w:p>
        </w:tc>
        <w:tc>
          <w:tcPr>
            <w:tcW w:type="dxa" w:w="141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合併淨利</w:t>
            </w:r>
          </w:p>
        </w:tc>
        <w:tc>
          <w:tcPr>
            <w:tcW w:type="dxa" w:w="113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EPS（元）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2Q25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83.6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35.5%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26.0%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4.82</w:t>
            </w:r>
          </w:p>
        </w:tc>
        <w:tc>
          <w:tcPr>
            <w:tcW w:type="dxa" w:w="141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21.75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1.78</w:t>
            </w:r>
          </w:p>
        </w:tc>
      </w:tr>
      <w:tr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3Q25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92.9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34.3%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26.8%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3.94</w:t>
            </w:r>
          </w:p>
        </w:tc>
        <w:tc>
          <w:tcPr>
            <w:tcW w:type="dxa" w:w="141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23.02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1.88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4Q25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99.7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37.7%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28.2%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1.44</w:t>
            </w:r>
          </w:p>
        </w:tc>
        <w:tc>
          <w:tcPr>
            <w:tcW w:type="dxa" w:w="141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22.48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1.84</w:t>
            </w:r>
          </w:p>
        </w:tc>
      </w:tr>
      <w:tr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1Q26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101.9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39.7%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27.2%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0.36</w:t>
            </w:r>
          </w:p>
        </w:tc>
        <w:tc>
          <w:tcPr>
            <w:tcW w:type="dxa" w:w="141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22.87</w:t>
            </w:r>
          </w:p>
        </w:tc>
        <w:tc>
          <w:tcPr>
            <w:tcW w:type="dxa" w:w="113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1.87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2Q26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111.4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39.5%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25.4%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2.48</w:t>
            </w:r>
          </w:p>
        </w:tc>
        <w:tc>
          <w:tcPr>
            <w:tcW w:type="dxa" w:w="141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24.92</w:t>
            </w:r>
          </w:p>
        </w:tc>
        <w:tc>
          <w:tcPr>
            <w:tcW w:type="dxa" w:w="113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2.04</w:t>
            </w:r>
          </w:p>
        </w:tc>
      </w:tr>
    </w:tbl>
    <w:p>
      <w:r>
        <w:rPr>
          <w:rFonts w:ascii="微軟正黑體" w:hAnsi="微軟正黑體" w:eastAsia="微軟正黑體" w:cs="微軟正黑體"/>
          <w:b w:val="0"/>
          <w:color w:val="55606A"/>
          <w:sz w:val="17"/>
        </w:rPr>
        <w:t>來源：115Q2 合併財報 p.7（1Q26＝1H26−2Q26）；3Q25、4Q25 為 Bigdata.com（FMP），未以原始財報逐項核對。EPS 為未追溯 8/3 股票股利之原始值。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月營收動能（億元）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營收</w:t>
            </w:r>
          </w:p>
        </w:tc>
        <w:tc>
          <w:tcPr>
            <w:tcW w:type="dxa" w:w="5102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1Q26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101.92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官方（年報 p.86 自結、115Q2 推得）</w:t>
            </w:r>
          </w:p>
        </w:tc>
      </w:tr>
      <w:tr>
        <w:tc>
          <w:tcPr>
            <w:tcW w:type="dxa" w:w="198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 月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37.43</w:t>
            </w:r>
          </w:p>
        </w:tc>
        <w:tc>
          <w:tcPr>
            <w:tcW w:type="dxa" w:w="51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財報狗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5–6 月合計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73.99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115Q2 營收 − 4 月</w:t>
            </w:r>
          </w:p>
        </w:tc>
      </w:tr>
      <w:tr>
        <w:tc>
          <w:tcPr>
            <w:tcW w:type="dxa" w:w="198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7 月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39.91</w:t>
            </w:r>
          </w:p>
        </w:tc>
        <w:tc>
          <w:tcPr>
            <w:tcW w:type="dxa" w:w="51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1–8 月累計 − H1 − 8 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8 月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40.80</w:t>
            </w:r>
          </w:p>
        </w:tc>
        <w:tc>
          <w:tcPr>
            <w:tcW w:type="dxa" w:w="51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新聞稿（百萬元精度），+31.6% YoY</w:t>
            </w:r>
          </w:p>
        </w:tc>
      </w:tr>
      <w:tr>
        <w:tc>
          <w:tcPr>
            <w:tcW w:type="dxa" w:w="198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1–8 月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294.04</w:t>
            </w:r>
          </w:p>
        </w:tc>
        <w:tc>
          <w:tcPr>
            <w:tcW w:type="dxa" w:w="51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+35.5% YoY（Kevin workbook、鉅亨網）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獲利結構觀察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毛利率 25Q3 34.3% → 26Q2 39.5%，但 26Q2 營益率 25.4% 反而低於 25Q2 的 26.0%：營業費用年增 97.7%，其中管理費用 11.5 億（+138%）、費用中的折舊 3.7 億（+156%）。研究推論：頭份／楊梅新廠投產前的折舊與開辦費，以及員工酬勞提列；新廠開始貢獻營收後，這部分會轉成經營槓桿。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財務成本 26Q2 2.06 億（25Q2 0.12 億）：長期借款 338.3 億、租賃負債 83.5 億（承租新廠）。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21"/>
        </w:rPr>
        <w:t>業外：1H26 匯兌 +1.20 億、處分 PP&amp;E +2.00 億，合計占稅前 5.4%（clean）；股利收入 1.14 億來自 FVOCI 投資，視為經常性。另現金流量表有「處分其他資產損失」1.47 億，損益表位置未揭露，未調整。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資產負債與現金流（115Q2）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115/6/30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114/12/31</w:t>
            </w:r>
          </w:p>
        </w:tc>
        <w:tc>
          <w:tcPr>
            <w:tcW w:type="dxa" w:w="3402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現金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133.2 億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179.6 億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PP&amp;E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700.6 億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605.5 億</w:t>
            </w:r>
          </w:p>
        </w:tc>
        <w:tc>
          <w:tcPr>
            <w:tcW w:type="dxa" w:w="34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+15.7%（半年）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使用權資產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82.3 億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28.0 億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頭份／楊梅承租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長期借款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338.3 億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302.7 億</w:t>
            </w:r>
          </w:p>
        </w:tc>
        <w:tc>
          <w:tcPr>
            <w:tcW w:type="dxa" w:w="34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淨負債（含租賃）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288.6 億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151.7 億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負債比 51.3%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FVOCI 金融資產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191.2 億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82.8 億</w:t>
            </w:r>
          </w:p>
        </w:tc>
        <w:tc>
          <w:tcPr>
            <w:tcW w:type="dxa" w:w="34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焱元 148.2 億、諧永 40.1 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1H26 營業現金流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63.7 億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1H26 capex（現金）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138.8 億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—</w:t>
            </w:r>
          </w:p>
        </w:tc>
        <w:tc>
          <w:tcPr>
            <w:tcW w:type="dxa" w:w="3402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FCF −75.1 億</w:t>
            </w:r>
          </w:p>
        </w:tc>
      </w:tr>
    </w:tbl>
    <w:p>
      <w:r>
        <w:rPr>
          <w:rFonts w:ascii="微軟正黑體" w:hAnsi="微軟正黑體" w:eastAsia="微軟正黑體" w:cs="微軟正黑體"/>
          <w:b w:val="0"/>
          <w:color w:val="55606A"/>
          <w:sz w:val="17"/>
        </w:rPr>
        <w:t>來源：115Q2 合併財報 p.5–6、p.9、附表一。授信條款：流動比率 ≥100%（目前 147%）、淨金融負債比 ≤150%、利息保障 ≥3 倍（約 18 倍）（p.54–55）。核閱報告為保留結論（部分非重要子公司未經核閱），屬常見情形。</w:t>
      </w:r>
    </w:p>
    <w:p>
      <w:pPr>
        <w:spacing w:after="80"/>
      </w:pPr>
      <w:r>
        <w:rPr>
          <w:rFonts w:ascii="微軟正黑體" w:hAnsi="微軟正黑體" w:eastAsia="微軟正黑體" w:cs="微軟正黑體"/>
          <w:b w:val="0"/>
          <w:i w:val="0"/>
          <w:color w:val="55606A"/>
          <w:sz w:val="19"/>
        </w:rPr>
        <w:t>經營槓桿圖解見 工程圖解/06_折舊槓桿與獲利結構。</w:t>
      </w:r>
    </w:p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四、Kevin 股價模型估值（雙層錨定法，2026-10 版）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核心輸入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7"/>
              </w:rPr>
              <w:t>代號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11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7"/>
              </w:rPr>
              <w:t>數值</w:t>
            </w:r>
          </w:p>
        </w:tc>
        <w:tc>
          <w:tcPr>
            <w:tcW w:type="dxa" w:w="3685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7"/>
              </w:rPr>
              <w:t>來源／說明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E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1–8 月累計營收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29,404,354 千元（n＝8，年化 ×12/8）</w:t>
            </w:r>
          </w:p>
        </w:tc>
        <w:tc>
          <w:tcPr>
            <w:tcW w:type="dxa" w:w="3685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Kevin workbook；與鉅亨網營收速報一致</w:t>
            </w:r>
          </w:p>
        </w:tc>
      </w:tr>
      <w:tr>
        <w:tc>
          <w:tcPr>
            <w:tcW w:type="dxa" w:w="85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H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合併淨利率</w:t>
            </w:r>
          </w:p>
        </w:tc>
        <w:tc>
          <w:tcPr>
            <w:tcW w:type="dxa" w:w="311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22.40%＝4,778,188 ÷ 21,333,559</w:t>
            </w:r>
          </w:p>
        </w:tc>
        <w:tc>
          <w:tcPr>
            <w:tcW w:type="dxa" w:w="3685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115Q2 p.7；最新一期已公告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W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歸母 ÷ 合併淨利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0.99996＝4,778,004 ÷ 4,778,188</w:t>
            </w:r>
          </w:p>
        </w:tc>
        <w:tc>
          <w:tcPr>
            <w:tcW w:type="dxa" w:w="3685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115Q2 p.7</w:t>
            </w:r>
          </w:p>
        </w:tc>
      </w:tr>
      <w:tr>
        <w:tc>
          <w:tcPr>
            <w:tcW w:type="dxa" w:w="85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I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股本</w:t>
            </w:r>
          </w:p>
        </w:tc>
        <w:tc>
          <w:tcPr>
            <w:tcW w:type="dxa" w:w="311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12,838,824 千元</w:t>
            </w:r>
          </w:p>
        </w:tc>
        <w:tc>
          <w:tcPr>
            <w:tcW w:type="dxa" w:w="3685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12,227,451＋8/3 除權股票股利 611,373（p.31–32）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J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基期 EPS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6.23（主）／6.55（workbook）</w:t>
            </w:r>
          </w:p>
        </w:tc>
        <w:tc>
          <w:tcPr>
            <w:tcW w:type="dxa" w:w="3685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帳面 9.01 含京隆處分利益不可比；繼續營業淨利 8,004,710 千元（年報 p.104）</w:t>
            </w:r>
          </w:p>
        </w:tc>
      </w:tr>
      <w:tr>
        <w:tc>
          <w:tcPr>
            <w:tcW w:type="dxa" w:w="85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錨定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CPO 00891</w:t>
            </w:r>
          </w:p>
        </w:tc>
        <w:tc>
          <w:tcPr>
            <w:tcW w:type="dxa" w:w="311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ETF PE 28 × 0.85／0.62 × M_adj 0.85＝base P 20.23／Q 14.76</w:t>
            </w:r>
          </w:p>
        </w:tc>
        <w:tc>
          <w:tcPr>
            <w:tcW w:type="dxa" w:w="3685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workbook Anchor設定 2026-09-11（21 天）；大盤 PE 31.26 資料點為 7/9，已 85 天，建議更新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品質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非經常性占稅前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5.4%（匯兌 120,298＋處分 200,193）</w:t>
            </w:r>
          </w:p>
        </w:tc>
        <w:tc>
          <w:tcPr>
            <w:tcW w:type="dxa" w:w="3685"/>
          </w:tcPr>
          <w:p>
            <w:r/>
            <w:r>
              <w:rPr>
                <w:rFonts w:ascii="微軟正黑體" w:hAnsi="微軟正黑體" w:eastAsia="微軟正黑體" w:cs="微軟正黑體"/>
                <w:sz w:val="17"/>
              </w:rPr>
              <w:t>&lt; 10%，用帳面 H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計算結果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A｜J 6.23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A｜J 6.55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B｜J 6.23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B｜J 6.55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年化營收（億）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441.1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441.1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455.5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455.5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H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22.40%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22.40%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22.36%（Q2）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22.36%（Q2）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預期 EPS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7.69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7.69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7.93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7.93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EPS 成長率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23.5%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17.5%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27.3%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21.1%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PE_P／PE_Q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25.1／23.0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24.4／21.5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25.5／23.8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24.8／22.4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價 P／價 Q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193.0／176.7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187.8／165.3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202.0／189.1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196.9／177.7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模型價（P、Q 平均）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184.8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176.6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195.5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187.3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較 295.5 元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−37.5%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−40.2%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−33.8%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−36.6%</w:t>
            </w:r>
          </w:p>
        </w:tc>
      </w:tr>
    </w:tbl>
    <w:p>
      <w:r>
        <w:rPr>
          <w:rFonts w:ascii="微軟正黑體" w:hAnsi="微軟正黑體" w:eastAsia="微軟正黑體" w:cs="微軟正黑體"/>
          <w:b w:val="0"/>
          <w:color w:val="55606A"/>
          <w:sz w:val="17"/>
        </w:rPr>
        <w:t>情境 B：7–8 月月均 40.35 億年化（455.5 億），H 用 115Q2 單季合併淨利率 22.36%（非經常性占稅前 6.7%）。溢價係數 1（未加溢價）。明細：模型/valuation-20261002-kevin-provisional-adj623.json、-wb655.json。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H2 ramp 警示與反解</w:t>
      </w:r>
    </w:p>
    <w:p>
      <w:pPr>
        <w:spacing w:after="80"/>
      </w:pPr>
      <w:r>
        <w:rPr>
          <w:rFonts w:ascii="微軟正黑體" w:hAnsi="微軟正黑體" w:eastAsia="微軟正黑體" w:cs="微軟正黑體"/>
          <w:b w:val="0"/>
          <w:i w:val="0"/>
          <w:sz w:val="21"/>
        </w:rPr>
        <w:t>京元電屬 AI 測試設備型 H2 放量（Rubin 預期 Q4 放量、三座新廠 2026 投產），線性年化可能低估下半年。為避免外推，本報告不預測 Q4 營收，改用反解：在 H 22.4%、J 6.23 下，模型價等於 295.5 元需要年化營收 578.8 億（月 48.2 億）。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年化營收（億）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月營收（億）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預期 EPS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模型價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441（1–8 月）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36.8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7.69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184.8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480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40.0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8.37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215.3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520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43.3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9.07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247.2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560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46.7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9.77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279.9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578.8（股價隱含）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48.2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10.10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295.5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600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50.0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10.47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313.4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640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53.3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11.16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347.9</w:t>
            </w:r>
          </w:p>
        </w:tc>
      </w:tr>
    </w:tbl>
    <w:p>
      <w:r>
        <w:rPr>
          <w:rFonts w:ascii="微軟正黑體" w:hAnsi="微軟正黑體" w:eastAsia="微軟正黑體" w:cs="微軟正黑體"/>
          <w:b w:val="0"/>
          <w:color w:val="55606A"/>
          <w:sz w:val="17"/>
        </w:rPr>
        <w:t>反解屬計算，不是預測；模型/reverse-implied-revenue-20261002.json。</w:t>
      </w:r>
    </w:p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H（合併淨利率）敏感度——情境 A、J 6.23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合併淨利率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預期 EPS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模型價</w:t>
            </w:r>
          </w:p>
        </w:tc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較現價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20.0%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6.87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147.4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−50.1%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21.0%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7.21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163.2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−44.8%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22.4%（1H26）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7.70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184.8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−37.4%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23.5%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8.07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201.8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−31.7%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25.0%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8.59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225.1</w:t>
            </w:r>
          </w:p>
        </w:tc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−23.8%</w:t>
            </w:r>
          </w:p>
        </w:tc>
      </w:tr>
      <w:tr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27.0%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9.28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256.7</w:t>
            </w:r>
          </w:p>
        </w:tc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−13.1%</w:t>
            </w:r>
          </w:p>
        </w:tc>
      </w:tr>
    </w:tbl>
    <w:p/>
    <w:p>
      <w:pPr>
        <w:pStyle w:val="Heading2"/>
      </w:pPr>
      <w:r>
        <w:rPr>
          <w:rFonts w:ascii="微軟正黑體" w:hAnsi="微軟正黑體" w:eastAsia="微軟正黑體" w:cs="微軟正黑體"/>
          <w:b/>
          <w:color w:val="0B7A87"/>
          <w:sz w:val="25"/>
        </w:rPr>
        <w:t>P/B 參考（osat 模組候選方法）</w:t>
      </w:r>
    </w:p>
    <w:p>
      <w:pPr>
        <w:spacing w:after="80"/>
      </w:pPr>
      <w:r>
        <w:rPr>
          <w:rFonts w:ascii="微軟正黑體" w:hAnsi="微軟正黑體" w:eastAsia="微軟正黑體" w:cs="微軟正黑體"/>
          <w:b w:val="0"/>
          <w:i w:val="0"/>
          <w:sz w:val="21"/>
        </w:rPr>
        <w:t>BVPS 48.81 元（歸母權益 626.6 億 ÷ 除權後 12.84 億股），P/B 6.05x；純測試同業中位數 5.4x。若扣除 FVOCI 投資（約 14.7 元／股），本業 P/B 約 8.2x（股價與淨值同扣）。P/B 屬情境參考，不替代 Kevin 模型。</w:t>
      </w:r>
    </w:p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五、同業估值參考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124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90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股價</w:t>
            </w:r>
          </w:p>
        </w:tc>
        <w:tc>
          <w:tcPr>
            <w:tcW w:type="dxa" w:w="1020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TTM P/E</w:t>
            </w:r>
          </w:p>
        </w:tc>
        <w:tc>
          <w:tcPr>
            <w:tcW w:type="dxa" w:w="850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P/B</w:t>
            </w:r>
          </w:p>
        </w:tc>
        <w:tc>
          <w:tcPr>
            <w:tcW w:type="dxa" w:w="124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最新季毛利率</w:t>
            </w:r>
          </w:p>
        </w:tc>
        <w:tc>
          <w:tcPr>
            <w:tcW w:type="dxa" w:w="209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京元電 2449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純測試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295.5</w:t>
            </w:r>
          </w:p>
        </w:tc>
        <w:tc>
          <w:tcPr>
            <w:tcW w:type="dxa" w:w="102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40.7x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6.1x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39.5%</w:t>
            </w:r>
          </w:p>
        </w:tc>
        <w:tc>
          <w:tcPr>
            <w:tcW w:type="dxa" w:w="209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1–8 月營收 +35.5%</w:t>
            </w:r>
          </w:p>
        </w:tc>
      </w:tr>
      <w:tr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矽格 6257</w:t>
            </w:r>
          </w:p>
        </w:tc>
        <w:tc>
          <w:tcPr>
            <w:tcW w:type="dxa" w:w="124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測試為主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256.5</w:t>
            </w:r>
          </w:p>
        </w:tc>
        <w:tc>
          <w:tcPr>
            <w:tcW w:type="dxa" w:w="102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30.1x</w:t>
            </w:r>
          </w:p>
        </w:tc>
        <w:tc>
          <w:tcPr>
            <w:tcW w:type="dxa" w:w="85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4.9x</w:t>
            </w:r>
          </w:p>
        </w:tc>
        <w:tc>
          <w:tcPr>
            <w:tcW w:type="dxa" w:w="124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34.2%</w:t>
            </w:r>
          </w:p>
        </w:tc>
        <w:tc>
          <w:tcPr>
            <w:tcW w:type="dxa" w:w="209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1–8 月 +20.5%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欣銓 3264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純測試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245.5</w:t>
            </w:r>
          </w:p>
        </w:tc>
        <w:tc>
          <w:tcPr>
            <w:tcW w:type="dxa" w:w="102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31.0x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5.9x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40.2%</w:t>
            </w:r>
          </w:p>
        </w:tc>
        <w:tc>
          <w:tcPr>
            <w:tcW w:type="dxa" w:w="209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FMP TTM</w:t>
            </w:r>
          </w:p>
        </w:tc>
      </w:tr>
      <w:tr>
        <w:tc>
          <w:tcPr>
            <w:tcW w:type="dxa" w:w="1701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日月光 3711</w:t>
            </w:r>
          </w:p>
        </w:tc>
        <w:tc>
          <w:tcPr>
            <w:tcW w:type="dxa" w:w="124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封測一體</w:t>
            </w:r>
          </w:p>
        </w:tc>
        <w:tc>
          <w:tcPr>
            <w:tcW w:type="dxa" w:w="90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710</w:t>
            </w:r>
          </w:p>
        </w:tc>
        <w:tc>
          <w:tcPr>
            <w:tcW w:type="dxa" w:w="102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51.0x</w:t>
            </w:r>
          </w:p>
        </w:tc>
        <w:tc>
          <w:tcPr>
            <w:tcW w:type="dxa" w:w="85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8.0x</w:t>
            </w:r>
          </w:p>
        </w:tc>
        <w:tc>
          <w:tcPr>
            <w:tcW w:type="dxa" w:w="124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21.0%</w:t>
            </w:r>
          </w:p>
        </w:tc>
        <w:tc>
          <w:tcPr>
            <w:tcW w:type="dxa" w:w="209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只列參考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純測試中位數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30.5x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5.4x</w:t>
            </w:r>
          </w:p>
        </w:tc>
        <w:tc>
          <w:tcPr>
            <w:tcW w:type="dxa" w:w="124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37.2%</w:t>
            </w:r>
          </w:p>
        </w:tc>
        <w:tc>
          <w:tcPr>
            <w:tcW w:type="dxa" w:w="209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矽格、欣銓</w:t>
            </w:r>
          </w:p>
        </w:tc>
      </w:tr>
    </w:tbl>
    <w:p>
      <w:r>
        <w:rPr>
          <w:rFonts w:ascii="微軟正黑體" w:hAnsi="微軟正黑體" w:eastAsia="微軟正黑體" w:cs="微軟正黑體"/>
          <w:b w:val="0"/>
          <w:color w:val="55606A"/>
          <w:sz w:val="17"/>
        </w:rPr>
        <w:t>排除：精測、旺矽、雍智、致茂、鴻勁（設備耗材，不列 OSAT 同業）；力成、華東（記憶體封測）。京元電、矽格以官方財報重算；欣銓、日月光為 Bigdata.com（FMP）10/1 數字。</w:t>
      </w:r>
    </w:p>
    <w:p>
      <w:pPr>
        <w:spacing w:after="80"/>
      </w:pPr>
      <w:r>
        <w:rPr>
          <w:rFonts w:ascii="微軟正黑體" w:hAnsi="微軟正黑體" w:eastAsia="微軟正黑體" w:cs="微軟正黑體"/>
          <w:b/>
          <w:i w:val="0"/>
          <w:sz w:val="21"/>
        </w:rPr>
        <w:t>相對估值：</w:t>
      </w:r>
      <w:r>
        <w:rPr>
          <w:rFonts w:ascii="微軟正黑體" w:hAnsi="微軟正黑體" w:eastAsia="微軟正黑體" w:cs="微軟正黑體"/>
          <w:b w:val="0"/>
          <w:i w:val="0"/>
          <w:sz w:val="21"/>
        </w:rPr>
        <w:t xml:space="preserve"> RelPE 1.33、毛利率高 2.3ppt、營收成長最高。京元電的溢價是「成長溢價」，不是被低估；若 2027 營收如法人預期再成長，前瞻 P/E 才會回到同業區間（法人預估屬來源觀點，不進模型）。</w:t>
      </w:r>
    </w:p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六、風險檢核（osat 模組 guards）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風險</w:t>
            </w:r>
          </w:p>
        </w:tc>
        <w:tc>
          <w:tcPr>
            <w:tcW w:type="dxa" w:w="5669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檢核結果</w:t>
            </w:r>
          </w:p>
        </w:tc>
        <w:tc>
          <w:tcPr>
            <w:tcW w:type="dxa" w:w="850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等級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新廠折舊先行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折舊占營收 24.5%（1H25 21.8%）；Q2 費用端已先吃新廠成本，Q3 起若營收未跳升，營益率續壓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高</w:t>
            </w:r>
          </w:p>
        </w:tc>
      </w:tr>
      <w:tr>
        <w:tc>
          <w:tcPr>
            <w:tcW w:type="dxa" w:w="198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客戶集中與時程</w:t>
            </w:r>
          </w:p>
        </w:tc>
        <w:tc>
          <w:tcPr>
            <w:tcW w:type="dxa" w:w="5669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甲客戶 36%；Rubin 測試時程延後至 Q3 底（媒體），單一平台時程直接影響營收</w:t>
            </w:r>
          </w:p>
        </w:tc>
        <w:tc>
          <w:tcPr>
            <w:tcW w:type="dxa" w:w="85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擴產期現金流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1H26 FCF −75 億，淨負債 288.6 億；2026 capex 年報 424 億、媒體 500 億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中</w:t>
            </w:r>
          </w:p>
        </w:tc>
      </w:tr>
      <w:tr>
        <w:tc>
          <w:tcPr>
            <w:tcW w:type="dxa" w:w="198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競爭</w:t>
            </w:r>
          </w:p>
        </w:tc>
        <w:tc>
          <w:tcPr>
            <w:tcW w:type="dxa" w:w="5669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媒體稱同業與 ATE 大廠合作切入 Burn-in；自製設備優勢需靠迭代維持</w:t>
            </w:r>
          </w:p>
        </w:tc>
        <w:tc>
          <w:tcPr>
            <w:tcW w:type="dxa" w:w="85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匯率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外銷 70%、設備進口；2025 兌換利益 4.2 億；新台幣急升時毛利率與業外雙壓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中</w:t>
            </w:r>
          </w:p>
        </w:tc>
      </w:tr>
      <w:tr>
        <w:tc>
          <w:tcPr>
            <w:tcW w:type="dxa" w:w="1984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盈餘品質</w:t>
            </w:r>
          </w:p>
        </w:tc>
        <w:tc>
          <w:tcPr>
            <w:tcW w:type="dxa" w:w="5669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1H26 非經常性 5.4%（clean）；基期 J 需排除停業單位與追溯股票股利</w:t>
            </w:r>
          </w:p>
        </w:tc>
        <w:tc>
          <w:tcPr>
            <w:tcW w:type="dxa" w:w="850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資料</w:t>
            </w:r>
          </w:p>
        </w:tc>
        <w:tc>
          <w:tcPr>
            <w:tcW w:type="dxa" w:w="5669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公司身分未官方查核；2026Q1 PDF 未持有；同業與 25Q3–25Q4 為二手</w:t>
            </w:r>
          </w:p>
        </w:tc>
        <w:tc>
          <w:tcPr>
            <w:tcW w:type="dxa" w:w="850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七、追蹤重點與時程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268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5386"/>
            <w:shd w:val="clear" w:color="auto" w:fill="0B7A87"/>
          </w:tcPr>
          <w:p>
            <w:r/>
            <w:r>
              <w:rPr>
                <w:rFonts w:ascii="微軟正黑體" w:hAnsi="微軟正黑體" w:eastAsia="微軟正黑體" w:cs="微軟正黑體"/>
                <w:b/>
                <w:color w:val="FFFFFF"/>
                <w:sz w:val="18"/>
              </w:rPr>
              <w:t>觀察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10/10 前</w:t>
            </w:r>
          </w:p>
        </w:tc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9 月營收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能否 ≥ 41 億、Q3 是否 ≥ 120 億；更新 E（n＝9）與情境 B</w:t>
            </w:r>
          </w:p>
        </w:tc>
      </w:tr>
      <w:tr>
        <w:tc>
          <w:tcPr>
            <w:tcW w:type="dxa" w:w="141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11 月上旬</w:t>
            </w:r>
          </w:p>
        </w:tc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3Q26 財報／法說</w:t>
            </w:r>
          </w:p>
        </w:tc>
        <w:tc>
          <w:tcPr>
            <w:tcW w:type="dxa" w:w="5386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毛利率能否守 39%、費用率是否回落、新廠折舊；更新 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2026Q4</w:t>
            </w:r>
          </w:p>
        </w:tc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Rubin 放量、新廠稼動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月營收站上 45 億為第一關，48 億為股價隱含水準</w:t>
            </w:r>
          </w:p>
        </w:tc>
      </w:tr>
      <w:tr>
        <w:tc>
          <w:tcPr>
            <w:tcW w:type="dxa" w:w="1417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2027Q1</w:t>
            </w:r>
          </w:p>
        </w:tc>
        <w:tc>
          <w:tcPr>
            <w:tcW w:type="dxa" w:w="2268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4Q26 營收</w:t>
            </w:r>
          </w:p>
        </w:tc>
        <w:tc>
          <w:tcPr>
            <w:tcW w:type="dxa" w:w="5386"/>
            <w:shd w:val="clear" w:color="auto" w:fill="EEF5F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全年營收 vs 法人「逼近 500 億」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持續</w:t>
            </w:r>
          </w:p>
        </w:tc>
        <w:tc>
          <w:tcPr>
            <w:tcW w:type="dxa" w:w="2268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capex 與負債</w:t>
            </w:r>
          </w:p>
        </w:tc>
        <w:tc>
          <w:tcPr>
            <w:tcW w:type="dxa" w:w="5386"/>
          </w:tcPr>
          <w:p>
            <w:r/>
            <w:r>
              <w:rPr>
                <w:rFonts w:ascii="微軟正黑體" w:hAnsi="微軟正黑體" w:eastAsia="微軟正黑體" w:cs="微軟正黑體"/>
                <w:sz w:val="18"/>
              </w:rPr>
              <w:t>流動比率、淨金融負債比對照授信條款</w:t>
            </w:r>
          </w:p>
        </w:tc>
      </w:tr>
    </w:tbl>
    <w:p/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八、資料來源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18"/>
        </w:rPr>
        <w:t>京元電子 115Q2 合併財務報告（MOPS 202602_2449_AI1；Drive 1MfgQA5DHe6ukGI5dckwqlRIsM2bLCX9q）：p.5–9、p.31–32、p.36、p.42、p.44、p.47–48、p.54–55、附表一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18"/>
        </w:rPr>
        <w:t>京元電子 2025 年報（MOPS F04；Drive 1MWwj0K_ZsK88NP4c1EpgnophgkvWyx5_）：p.1–4、p.51、p.84–92、p.103–107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18"/>
        </w:rPr>
        <w:t>京元電子 2024 年報（MOPS F04；Drive 1lCcVGWlMDdWY25o8X5aj6k-VrB1MvV42）：p.82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18"/>
        </w:rPr>
        <w:t>Kevin 投資組合_2026_09_11_updated.xlsx（CPO概念表、Anchor設定、季報調節）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18"/>
        </w:rPr>
        <w:t>Bigdata.com（https://bigdata.com）：股價 2026-10-02、25Q3–25Q4 季數字、同業倍數（FMP）</w:t>
      </w:r>
    </w:p>
    <w:p>
      <w:pPr>
        <w:pStyle w:val="ListBullet"/>
        <w:spacing w:after="40"/>
      </w:pPr>
      <w:r>
        <w:rPr>
          <w:rFonts w:ascii="微軟正黑體" w:hAnsi="微軟正黑體" w:eastAsia="微軟正黑體" w:cs="微軟正黑體"/>
          <w:b w:val="0"/>
          <w:sz w:val="18"/>
        </w:rPr>
        <w:t>新聞（二手、僅作催化／風險）：鉅亨網 8 月營收速報（2026-09-07）、經濟日報 capex 上修 500 億、FTNN Rubin 延後</w:t>
      </w:r>
    </w:p>
    <w:p>
      <w:pPr>
        <w:pStyle w:val="Heading1"/>
      </w:pPr>
      <w:r>
        <w:rPr>
          <w:rFonts w:ascii="微軟正黑體" w:hAnsi="微軟正黑體" w:eastAsia="微軟正黑體" w:cs="微軟正黑體"/>
          <w:b/>
          <w:color w:val="0B7A87"/>
          <w:sz w:val="30"/>
        </w:rPr>
        <w:t>免責聲明</w:t>
      </w:r>
    </w:p>
    <w:p>
      <w:pPr>
        <w:spacing w:after="80"/>
      </w:pPr>
      <w:r>
        <w:rPr>
          <w:rFonts w:ascii="微軟正黑體" w:hAnsi="微軟正黑體" w:eastAsia="微軟正黑體" w:cs="微軟正黑體"/>
          <w:b w:val="0"/>
          <w:i w:val="0"/>
          <w:sz w:val="19"/>
        </w:rPr>
        <w:t>本報告為個人研究整理，數字以官方財報為準，二手資料已標示；模型結果為情境計算，非交易訊號。非投資建議。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軟正黑體" w:hAnsi="微軟正黑體" w:eastAsia="微軟正黑體" w:cs="微軟正黑體"/>
      <w:b/>
      <w:bCs/>
      <w:color w:val="0B7A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軟正黑體" w:hAnsi="微軟正黑體" w:eastAsia="微軟正黑體" w:cs="微軟正黑體"/>
      <w:b/>
      <w:bCs/>
      <w:color w:val="0B7A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軟正黑體" w:hAnsi="微軟正黑體" w:eastAsia="微軟正黑體" w:cs="微軟正黑體"/>
      <w:color w:val="1F2A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