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Microsoft JhengHei"/>
          <w:b/>
          <w:color w:val="1F2A33"/>
          <w:sz w:val="40"/>
        </w:rPr>
        <w:t>智邦主要產品｜工藝與工程規格</w:t>
      </w:r>
    </w:p>
    <w:p>
      <w:pPr>
        <w:spacing w:after="40"/>
      </w:pPr>
      <w:r>
        <w:rPr>
          <w:rFonts w:ascii="Arial" w:hAnsi="Arial" w:eastAsia="Microsoft JhengHei"/>
          <w:b w:val="0"/>
          <w:color w:val="5B6B75"/>
          <w:sz w:val="21"/>
        </w:rPr>
        <w:t>智邦科技（TWSE:2345）｜比照《竹陞6739研究》工程圖解格式｜產業模組 datacenter-networking</w:t>
      </w:r>
    </w:p>
    <w:p>
      <w:pPr>
        <w:spacing w:after="240"/>
      </w:pPr>
      <w:r>
        <w:rPr>
          <w:rFonts w:ascii="Arial" w:hAnsi="Arial" w:eastAsia="Microsoft JhengHei"/>
          <w:b w:val="0"/>
          <w:color w:val="5B6B75"/>
          <w:sz w:val="19"/>
        </w:rPr>
        <w:t>資料截止：2026-10-02｜主要依據：2024 年報 p.1–2、p.67–82；115Q2 合併財報（MOPS 202602 AI1）p.5–6、p.9–10、p.20、p.32；2025Q2／Q3 合併季報</w:t>
      </w:r>
    </w:p>
    <w:p>
      <w:pPr>
        <w:pStyle w:val="Heading1"/>
      </w:pPr>
      <w:r>
        <w:t>一、摘要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智邦的「工藝」不是材料加工，而是高速網通硬體的系統設計與製造：把交換晶片、高速 SerDes 走線、光口、CPU 模組、電源與散熱整合進 1U／2U 機箱，並以 ODM／JDM 模式和客戶共同定義規格後量產。2024 年報自述從 OEM 代工發展為 OEM／ODM 並提供 JDM 服務，「為全球白牌交換器的龍頭企業」（p.70–71）。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工程上的關鍵在三件事：一、跟上交換晶片世代（51.2T／800G 已廣泛採用，推動 102T 與 1.6T，年報 p.1）；二、高速訊號完整性與低功耗設計（超低損耗材料、VLC 垂直線卡專利、電源與散熱，p.71）；三、多地量產與交期（竹南、新竹、越南、美國爾灣，p.72）。公司未逐機種揭露埠數、功耗、良率與製程參數，本文件凡未揭露者一律標 N/A（未揭露），推論欄位標「研究推論」。</w:t>
      </w:r>
    </w:p>
    <w:p>
      <w:pPr>
        <w:pStyle w:val="Heading1"/>
      </w:pPr>
      <w:r>
        <w:t>二、產品工程規格總表</w:t>
      </w:r>
    </w:p>
    <w:p>
      <w:pPr>
        <w:spacing w:after="40"/>
      </w:pPr>
      <w:r>
        <w:rPr>
          <w:rFonts w:ascii="Arial" w:hAnsi="Arial" w:eastAsia="Microsoft JhengHei"/>
          <w:b/>
          <w:sz w:val="19"/>
        </w:rPr>
        <w:t>表 1：產品別營收（NT$ 千元；115Q2 合併財報 p.32「客戶合約收入之細分」）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584"/>
        <w:gridCol w:w="1007"/>
        <w:gridCol w:w="1584"/>
        <w:gridCol w:w="1007"/>
        <w:gridCol w:w="1152"/>
      </w:tblGrid>
      <w:tr>
        <w:tc>
          <w:tcPr>
            <w:tcW w:type="dxa" w:w="1872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產品別</w:t>
            </w:r>
          </w:p>
        </w:tc>
        <w:tc>
          <w:tcPr>
            <w:tcW w:type="dxa" w:w="1584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1H25</w:t>
            </w:r>
          </w:p>
        </w:tc>
        <w:tc>
          <w:tcPr>
            <w:tcW w:type="dxa" w:w="1008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584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1H26</w:t>
            </w:r>
          </w:p>
        </w:tc>
        <w:tc>
          <w:tcPr>
            <w:tcW w:type="dxa" w:w="1008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152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年增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網路交換器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40,242,115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38.9%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83,057,873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50.1%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+106.4%</w:t>
            </w:r>
          </w:p>
        </w:tc>
      </w:tr>
      <w:tr>
        <w:tc>
          <w:tcPr>
            <w:tcW w:type="dxa" w:w="1872"/>
            <w:shd w:val="clear" w:color="auto" w:fill="F2F6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網路應用設備</w:t>
            </w:r>
          </w:p>
        </w:tc>
        <w:tc>
          <w:tcPr>
            <w:tcW w:type="dxa" w:w="1584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60,044,413</w:t>
            </w:r>
          </w:p>
        </w:tc>
        <w:tc>
          <w:tcPr>
            <w:tcW w:type="dxa" w:w="100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58.1%</w:t>
            </w:r>
          </w:p>
        </w:tc>
        <w:tc>
          <w:tcPr>
            <w:tcW w:type="dxa" w:w="1584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78,222,001</w:t>
            </w:r>
          </w:p>
        </w:tc>
        <w:tc>
          <w:tcPr>
            <w:tcW w:type="dxa" w:w="100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47.2%</w:t>
            </w:r>
          </w:p>
        </w:tc>
        <w:tc>
          <w:tcPr>
            <w:tcW w:type="dxa" w:w="1152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+30.3%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網路接取設備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2,050,940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2.0%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1,687,928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1.0%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−17.7%</w:t>
            </w:r>
          </w:p>
        </w:tc>
      </w:tr>
      <w:tr>
        <w:tc>
          <w:tcPr>
            <w:tcW w:type="dxa" w:w="1872"/>
            <w:shd w:val="clear" w:color="auto" w:fill="F2F6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無線網路設備</w:t>
            </w:r>
          </w:p>
        </w:tc>
        <w:tc>
          <w:tcPr>
            <w:tcW w:type="dxa" w:w="1584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297,847</w:t>
            </w:r>
          </w:p>
        </w:tc>
        <w:tc>
          <w:tcPr>
            <w:tcW w:type="dxa" w:w="100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0.3%</w:t>
            </w:r>
          </w:p>
        </w:tc>
        <w:tc>
          <w:tcPr>
            <w:tcW w:type="dxa" w:w="1584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291,012</w:t>
            </w:r>
          </w:p>
        </w:tc>
        <w:tc>
          <w:tcPr>
            <w:tcW w:type="dxa" w:w="100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0.2%</w:t>
            </w:r>
          </w:p>
        </w:tc>
        <w:tc>
          <w:tcPr>
            <w:tcW w:type="dxa" w:w="1152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−2.3%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其他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720,044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0.7%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2,399,621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1.4%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+233.3%</w:t>
            </w:r>
          </w:p>
        </w:tc>
      </w:tr>
      <w:tr>
        <w:tc>
          <w:tcPr>
            <w:tcW w:type="dxa" w:w="1872"/>
            <w:shd w:val="clear" w:color="auto" w:fill="F2F6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合計</w:t>
            </w:r>
          </w:p>
        </w:tc>
        <w:tc>
          <w:tcPr>
            <w:tcW w:type="dxa" w:w="1584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103,355,359</w:t>
            </w:r>
          </w:p>
        </w:tc>
        <w:tc>
          <w:tcPr>
            <w:tcW w:type="dxa" w:w="100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100%</w:t>
            </w:r>
          </w:p>
        </w:tc>
        <w:tc>
          <w:tcPr>
            <w:tcW w:type="dxa" w:w="1584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165,658,435</w:t>
            </w:r>
          </w:p>
        </w:tc>
        <w:tc>
          <w:tcPr>
            <w:tcW w:type="dxa" w:w="100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100%</w:t>
            </w:r>
          </w:p>
        </w:tc>
        <w:tc>
          <w:tcPr>
            <w:tcW w:type="dxa" w:w="1152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+60.3%</w:t>
            </w:r>
          </w:p>
        </w:tc>
      </w:tr>
    </w:tbl>
    <w:p>
      <w:pPr>
        <w:spacing w:after="200"/>
      </w:pPr>
      <w:r>
        <w:rPr>
          <w:rFonts w:ascii="Arial" w:hAnsi="Arial" w:eastAsia="Microsoft JhengHei"/>
          <w:b w:val="0"/>
          <w:color w:val="5B6B75"/>
          <w:sz w:val="17"/>
        </w:rPr>
        <w:t>「網路應用設備」公司未再細分；年報產品清單含 AI 推理／訓練運算卡、SmartNIC、NVMe 存儲伺服器、邊緣運算伺服器等（2024 年報 p.68），其營收組成未揭露。</w:t>
      </w:r>
    </w:p>
    <w:p>
      <w:pPr>
        <w:spacing w:after="40"/>
      </w:pPr>
      <w:r>
        <w:rPr>
          <w:rFonts w:ascii="Arial" w:hAnsi="Arial" w:eastAsia="Microsoft JhengHei"/>
          <w:b/>
          <w:sz w:val="19"/>
        </w:rPr>
        <w:t>表 2：主要產品工程規格（公開資訊整理）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088"/>
        <w:gridCol w:w="2088"/>
        <w:gridCol w:w="2088"/>
        <w:gridCol w:w="2088"/>
      </w:tblGrid>
      <w:tr>
        <w:tc>
          <w:tcPr>
            <w:tcW w:type="dxa" w:w="1440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088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資料中心交換器</w:t>
            </w:r>
          </w:p>
        </w:tc>
        <w:tc>
          <w:tcPr>
            <w:tcW w:type="dxa" w:w="2088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DDC 解構式路由／佈線交換器</w:t>
            </w:r>
          </w:p>
        </w:tc>
        <w:tc>
          <w:tcPr>
            <w:tcW w:type="dxa" w:w="2088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AI 運算卡與 OAM 伺服器</w:t>
            </w:r>
          </w:p>
        </w:tc>
        <w:tc>
          <w:tcPr>
            <w:tcW w:type="dxa" w:w="2088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SmartNIC 與企業／電信網通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代表規格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51.2T 交換容量、800G 光纖接口；下一代 102T／1.6T（年報 p.1）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800G 解構式佈線交換器＋核心路由器，VoQ 架構，可擴展至 32K GPU（p.71）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OAI／OCP 架構：雙路 CPU 主機板＋8 顆 OAM GPU 的 UBB 通用底板（p.71）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SmartNIC 10／25／50／100G；Wi-Fi 7 AP、5G CSR／DCSG（p.68）</w:t>
            </w:r>
          </w:p>
        </w:tc>
      </w:tr>
      <w:tr>
        <w:tc>
          <w:tcPr>
            <w:tcW w:type="dxa" w:w="1440"/>
            <w:shd w:val="clear" w:color="auto" w:fill="F2F6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材料</w:t>
            </w:r>
          </w:p>
        </w:tc>
        <w:tc>
          <w:tcPr>
            <w:tcW w:type="dxa" w:w="208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超低損耗 PCB 材料（p.71）；層數、板材型號 N/A（未揭露）</w:t>
            </w:r>
          </w:p>
        </w:tc>
        <w:tc>
          <w:tcPr>
            <w:tcW w:type="dxa" w:w="208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N/A（未揭露）</w:t>
            </w:r>
          </w:p>
        </w:tc>
        <w:tc>
          <w:tcPr>
            <w:tcW w:type="dxa" w:w="208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N/A（未揭露）</w:t>
            </w:r>
          </w:p>
        </w:tc>
        <w:tc>
          <w:tcPr>
            <w:tcW w:type="dxa" w:w="208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N/A（未揭露）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製程步驟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研究推論：SMT 貼裝 → 後段組裝 → 功能／燒機測試；公司揭露 SMT 與後段設備採購（年報董事會決議）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同左（研究推論）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同左（研究推論）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同左（研究推論）</w:t>
            </w:r>
          </w:p>
        </w:tc>
      </w:tr>
      <w:tr>
        <w:tc>
          <w:tcPr>
            <w:tcW w:type="dxa" w:w="1440"/>
            <w:shd w:val="clear" w:color="auto" w:fill="F2F6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關鍵尺寸／公差</w:t>
            </w:r>
          </w:p>
        </w:tc>
        <w:tc>
          <w:tcPr>
            <w:tcW w:type="dxa" w:w="208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N/A（未揭露）；高速走線需控制阻抗與插損（研究推論）</w:t>
            </w:r>
          </w:p>
        </w:tc>
        <w:tc>
          <w:tcPr>
            <w:tcW w:type="dxa" w:w="208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N/A（未揭露）</w:t>
            </w:r>
          </w:p>
        </w:tc>
        <w:tc>
          <w:tcPr>
            <w:tcW w:type="dxa" w:w="208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N/A（未揭露）</w:t>
            </w:r>
          </w:p>
        </w:tc>
        <w:tc>
          <w:tcPr>
            <w:tcW w:type="dxa" w:w="208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N/A（未揭露）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良率或檢測關口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NPI 驗證、季度業務審查品質項目（年報 ESG 章節）；良率數字 N/A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N/A（未揭露）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N/A（未揭露）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AI-AOI 智能瑕疵檢測平台列為產品（p.68），自用比例 N/A</w:t>
            </w:r>
          </w:p>
        </w:tc>
      </w:tr>
      <w:tr>
        <w:tc>
          <w:tcPr>
            <w:tcW w:type="dxa" w:w="1440"/>
            <w:shd w:val="clear" w:color="auto" w:fill="F2F6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設備</w:t>
            </w:r>
          </w:p>
        </w:tc>
        <w:tc>
          <w:tcPr>
            <w:tcW w:type="dxa" w:w="208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SMT 線與後段設備（竹南、越南擴產）</w:t>
            </w:r>
          </w:p>
        </w:tc>
        <w:tc>
          <w:tcPr>
            <w:tcW w:type="dxa" w:w="208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同左</w:t>
            </w:r>
          </w:p>
        </w:tc>
        <w:tc>
          <w:tcPr>
            <w:tcW w:type="dxa" w:w="208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同左</w:t>
            </w:r>
          </w:p>
        </w:tc>
        <w:tc>
          <w:tcPr>
            <w:tcW w:type="dxa" w:w="208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同左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客戶應用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Hyperscaler 與通用型資料中心 Leaf／Spine（p.1）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AI／ML 後端網路、核心與邊緣網路（p.71）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大規模深度學習訓練與推理（p.71）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企業網路、電信接取（p.68–69）</w:t>
            </w:r>
          </w:p>
        </w:tc>
      </w:tr>
    </w:tbl>
    <w:p>
      <w:pPr>
        <w:spacing w:after="80"/>
      </w:pPr>
      <w:r>
        <w:rPr>
          <w:rFonts w:ascii="Arial" w:hAnsi="Arial" w:eastAsia="Microsoft JhengHei"/>
          <w:b w:val="0"/>
          <w:sz w:val="8"/>
        </w:rPr>
      </w:r>
    </w:p>
    <w:p>
      <w:pPr>
        <w:pStyle w:val="Heading1"/>
      </w:pPr>
      <w:r>
        <w:t>三、系統架構與工作原理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資料中心交換器產品架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JhengHei"/>
          <w:b w:val="0"/>
          <w:color w:val="5B6B75"/>
          <w:sz w:val="18"/>
        </w:rPr>
        <w:t>圖 1：白牌資料中心交換器產品架構（51.2T／800G 世代示意，研究推論）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交換器的核心是交換晶片：所有前面板光口經高速 SerDes 通道連到晶片，晶片決定交換容量與埠速世代。年報強調的工程能力集中在高速訊號處理、散熱管理、功耗控制與空間結構設計，並以超低損耗材料與精密走線確保訊號完整性（p.71）。VLC（垂直線卡）是智邦的專利設計，用來縮短高頻走線、降低衰減，並讓客戶在光纖收發器與 DAC 直連電纜之間選擇（p.71）。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資料中心網路拓撲與產品落點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JhengHei"/>
          <w:b w:val="0"/>
          <w:color w:val="5B6B75"/>
          <w:sz w:val="18"/>
        </w:rPr>
        <w:t>圖 2：資料中心網路拓撲與智邦產品落點（一般架構示意）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前端網路是傳統 Leaf-Spine 交換器市場；AI 後端網路則需要大量 800G 埠串接 GPU 集群。智邦的 DDC（分散式解構機箱）方案以 800G 佈線交換器搭配核心路由器組成 VoQ 架構，年報稱可擴展至 32K-GPU 800G 集群（p.71）。這讓產品從單台交換器延伸到整個後端 fabric。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速率世代路線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JhengHei"/>
          <w:b w:val="0"/>
          <w:color w:val="5B6B75"/>
          <w:sz w:val="18"/>
        </w:rPr>
        <w:t>圖 3：速率世代路線（交換容量與埠速對應為產業通則）</w:t>
      </w:r>
    </w:p>
    <w:p>
      <w:pPr>
        <w:pStyle w:val="Heading1"/>
      </w:pPr>
      <w:r>
        <w:t>四、交付工藝流程（ODM／JDM）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DM_JDM商業模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JhengHei"/>
          <w:b w:val="0"/>
          <w:color w:val="5B6B75"/>
          <w:sz w:val="18"/>
        </w:rPr>
        <w:t>圖 4：ODM／JDM 商業模式與生產據點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2736"/>
        <w:gridCol w:w="2592"/>
        <w:gridCol w:w="2592"/>
      </w:tblGrid>
      <w:tr>
        <w:tc>
          <w:tcPr>
            <w:tcW w:type="dxa" w:w="1584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736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2592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工程重點</w:t>
            </w:r>
          </w:p>
        </w:tc>
        <w:tc>
          <w:tcPr>
            <w:tcW w:type="dxa" w:w="2592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對財報的影響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1 客戶規格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Hyperscaler 或設備商提出架構、功耗、埠數需求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早期參與規格定義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前期研發費用（1H26 研發費 45.0 億，115Q2 財報 p.6）</w:t>
            </w:r>
          </w:p>
        </w:tc>
      </w:tr>
      <w:tr>
        <w:tc>
          <w:tcPr>
            <w:tcW w:type="dxa" w:w="1584"/>
            <w:shd w:val="clear" w:color="auto" w:fill="F2F6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2 JDM 共同設計</w:t>
            </w:r>
          </w:p>
        </w:tc>
        <w:tc>
          <w:tcPr>
            <w:tcW w:type="dxa" w:w="2736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硬體＋開放軟體共同開發</w:t>
            </w:r>
          </w:p>
        </w:tc>
        <w:tc>
          <w:tcPr>
            <w:tcW w:type="dxa" w:w="2592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交換晶片平台選擇、SI／PI</w:t>
            </w:r>
          </w:p>
        </w:tc>
        <w:tc>
          <w:tcPr>
            <w:tcW w:type="dxa" w:w="2592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研發費率 2.7%（1H26），規模放大後下降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3 DFM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可製造性設計（年報稱核心領導力，p.1）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縮短量產爬坡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良率與毛利率</w:t>
            </w:r>
          </w:p>
        </w:tc>
      </w:tr>
      <w:tr>
        <w:tc>
          <w:tcPr>
            <w:tcW w:type="dxa" w:w="1584"/>
            <w:shd w:val="clear" w:color="auto" w:fill="F2F6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4 NPI 驗證</w:t>
            </w:r>
          </w:p>
        </w:tc>
        <w:tc>
          <w:tcPr>
            <w:tcW w:type="dxa" w:w="2736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樣品、認證、可靠度</w:t>
            </w:r>
          </w:p>
        </w:tc>
        <w:tc>
          <w:tcPr>
            <w:tcW w:type="dxa" w:w="2592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12–18 個月需求預測給晶片與零件商（p.81）</w:t>
            </w:r>
          </w:p>
        </w:tc>
        <w:tc>
          <w:tcPr>
            <w:tcW w:type="dxa" w:w="2592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備料推高原料存貨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5 量產交付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竹南／新竹、越南、美國爾灣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多地產能與關稅因應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存貨、應收、營運現金流</w:t>
            </w:r>
          </w:p>
        </w:tc>
      </w:tr>
    </w:tbl>
    <w:p>
      <w:pPr>
        <w:spacing w:after="80"/>
      </w:pPr>
      <w:r>
        <w:rPr>
          <w:rFonts w:ascii="Arial" w:hAnsi="Arial" w:eastAsia="Microsoft JhengHei"/>
          <w:b w:val="0"/>
          <w:sz w:val="8"/>
        </w:rPr>
      </w:r>
    </w:p>
    <w:p>
      <w:pPr>
        <w:spacing w:after="80"/>
      </w:pPr>
      <w:r>
        <w:rPr>
          <w:rFonts w:ascii="Arial" w:hAnsi="Arial" w:eastAsia="Microsoft JhengHei"/>
          <w:b w:val="0"/>
          <w:sz w:val="19"/>
        </w:rPr>
        <w:t>交貨模式說明：交換晶片等高價料件若由智邦採購（turnkey），營收包含料件且毛利率被轉嫁稀釋；若由客戶代料（consignment），料件不入營收，營收變小、毛利率變高。媒體與法人報導部分客戶採代料模式（工商時報，Bigdata.com 收錄），公司未揭露比重，因此毛利率與營收年增的跨期比較需同時看營益率與費用率（研究推論）。</w:t>
      </w:r>
    </w:p>
    <w:p>
      <w:pPr>
        <w:spacing w:after="80"/>
      </w:pPr>
      <w:r>
        <w:rPr>
          <w:rFonts w:ascii="Arial" w:hAnsi="Arial" w:eastAsia="Microsoft JhengHei"/>
          <w:b w:val="0"/>
          <w:sz w:val="19"/>
        </w:rPr>
        <w:t>存貨結構說明：2026-06-30 存貨 769.3 億元（原料 307.7、在製品 70.0、製成品 212.3、商品 179.2 億元），較 2025-12-31 的 302.0 億元增加 467.3 億元；原料與製成品同步倍增，符合世代轉換前的備料與待出貨（115Q2 財報 p.20 附註十一）。1H26 營業現金流 −154.5 億元，其中存貨增加 467.4 億元（p.9）。</w:t>
      </w:r>
    </w:p>
    <w:p>
      <w:pPr>
        <w:pStyle w:val="Heading1"/>
      </w:pPr>
      <w:r>
        <w:t>五、產業位置與技術門檻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產業價值鏈位置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JhengHei"/>
          <w:b w:val="0"/>
          <w:color w:val="5B6B75"/>
          <w:sz w:val="18"/>
        </w:rPr>
        <w:t>圖 5：產業價值鏈位置與集中度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料件轉嫁與營運資金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JhengHei"/>
          <w:b w:val="0"/>
          <w:color w:val="5B6B75"/>
          <w:sz w:val="18"/>
        </w:rPr>
        <w:t>圖 6：料件轉嫁與營運資金（1H25 → 1H26）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320"/>
        <w:gridCol w:w="2880"/>
      </w:tblGrid>
      <w:tr>
        <w:tc>
          <w:tcPr>
            <w:tcW w:type="dxa" w:w="2304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門檻</w:t>
            </w:r>
          </w:p>
        </w:tc>
        <w:tc>
          <w:tcPr>
            <w:tcW w:type="dxa" w:w="4320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說明</w:t>
            </w:r>
          </w:p>
        </w:tc>
        <w:tc>
          <w:tcPr>
            <w:tcW w:type="dxa" w:w="2880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可被複製的難度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交換晶片世代跟進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51.2T／800G 已量產，102.4T／1.6T 開發中（p.1）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高：需與晶片商同步開發與驗證</w:t>
            </w:r>
          </w:p>
        </w:tc>
      </w:tr>
      <w:tr>
        <w:tc>
          <w:tcPr>
            <w:tcW w:type="dxa" w:w="2304"/>
            <w:shd w:val="clear" w:color="auto" w:fill="F2F6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高速訊號與散熱設計</w:t>
            </w:r>
          </w:p>
        </w:tc>
        <w:tc>
          <w:tcPr>
            <w:tcW w:type="dxa" w:w="4320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低損耗材料、VLC 專利、電源與液冷研發（p.71）</w:t>
            </w:r>
          </w:p>
        </w:tc>
        <w:tc>
          <w:tcPr>
            <w:tcW w:type="dxa" w:w="2880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中高：專利與經驗累積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JDM 客戶關係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與 hyperscaler 共同設計；最大客戶占 47%（2025Q1，p.82）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高，但集中度是雙面刃</w:t>
            </w:r>
          </w:p>
        </w:tc>
      </w:tr>
      <w:tr>
        <w:tc>
          <w:tcPr>
            <w:tcW w:type="dxa" w:w="2304"/>
            <w:shd w:val="clear" w:color="auto" w:fill="F2F6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多地量產</w:t>
            </w:r>
          </w:p>
        </w:tc>
        <w:tc>
          <w:tcPr>
            <w:tcW w:type="dxa" w:w="4320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竹南／新竹、越南、美國爾灣（p.72）</w:t>
            </w:r>
          </w:p>
        </w:tc>
        <w:tc>
          <w:tcPr>
            <w:tcW w:type="dxa" w:w="2880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中：同業也在擴越南與北美產能</w:t>
            </w:r>
          </w:p>
        </w:tc>
      </w:tr>
    </w:tbl>
    <w:p>
      <w:pPr>
        <w:spacing w:after="80"/>
      </w:pPr>
      <w:r>
        <w:rPr>
          <w:rFonts w:ascii="Arial" w:hAnsi="Arial" w:eastAsia="Microsoft JhengHei"/>
          <w:b w:val="0"/>
          <w:sz w:val="8"/>
        </w:rPr>
      </w:r>
    </w:p>
    <w:p>
      <w:pPr>
        <w:pStyle w:val="Heading1"/>
      </w:pPr>
      <w:r>
        <w:t>六、規格缺口（待法說簡報或產品型錄補齊）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缺口</w:t>
            </w:r>
          </w:p>
        </w:tc>
        <w:tc>
          <w:tcPr>
            <w:tcW w:type="dxa" w:w="3168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168"/>
            <w:shd w:val="clear" w:color="auto" w:fill="0B7A87"/>
          </w:tcPr>
          <w:p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建議來源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各速率世代出貨占比（400G／800G／1.6T）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拆解交換器成長是量還是價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法說會簡報、Dell’Oro 白牌份額（授權）</w:t>
            </w:r>
          </w:p>
        </w:tc>
      </w:tr>
      <w:tr>
        <w:tc>
          <w:tcPr>
            <w:tcW w:type="dxa" w:w="3168"/>
            <w:shd w:val="clear" w:color="auto" w:fill="F2F6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網路應用設備細項（AI 運算卡、SmartNIC 等）</w:t>
            </w:r>
          </w:p>
        </w:tc>
        <w:tc>
          <w:tcPr>
            <w:tcW w:type="dxa" w:w="316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判斷 AI 運算卡的單一客戶依賴</w:t>
            </w:r>
          </w:p>
        </w:tc>
        <w:tc>
          <w:tcPr>
            <w:tcW w:type="dxa" w:w="316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年報產銷量值表、法說 Q&amp;A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2025 年度財報與 2025 年報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補 4Q25 單季數字與客戶集中度更新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MOPS AI1 202504、F04 2025</w:t>
            </w:r>
          </w:p>
        </w:tc>
      </w:tr>
      <w:tr>
        <w:tc>
          <w:tcPr>
            <w:tcW w:type="dxa" w:w="3168"/>
            <w:shd w:val="clear" w:color="auto" w:fill="F2F6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毛利率 by 產品與交貨模式</w:t>
            </w:r>
          </w:p>
        </w:tc>
        <w:tc>
          <w:tcPr>
            <w:tcW w:type="dxa" w:w="316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區分自購料件轉嫁與客戶代料（consignment）對毛利率的影響</w:t>
            </w:r>
          </w:p>
        </w:tc>
        <w:tc>
          <w:tcPr>
            <w:tcW w:type="dxa" w:w="3168"/>
            <w:shd w:val="clear" w:color="auto" w:fill="F2F6F7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法說會 Q&amp;A（公司通常不揭露）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產能（機台數、廠房面積）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評估 2H26 出貨上限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年報、董事會資本支出公告</w:t>
            </w:r>
          </w:p>
        </w:tc>
      </w:tr>
    </w:tbl>
    <w:p>
      <w:pPr>
        <w:spacing w:after="80"/>
      </w:pPr>
      <w:r>
        <w:rPr>
          <w:rFonts w:ascii="Arial" w:hAnsi="Arial" w:eastAsia="Microsoft JhengHei"/>
          <w:b w:val="0"/>
          <w:sz w:val="8"/>
        </w:rPr>
      </w:r>
    </w:p>
    <w:p>
      <w:pPr>
        <w:pStyle w:val="Heading1"/>
      </w:pPr>
      <w:r>
        <w:t>七、來源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智邦 2024 年報（分類PDF/01_年報/智邦_2345_2024_年報_中文.pdf）p.1–2、p.67–82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智邦 115Q2 合併財報（分類PDF/03_季報/智邦_2345_2026Q2_合併季報_含上半年累計_中文.pdf）p.5–6、p.9–10、p.20、p.32–33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智邦 2025Q2、2025Q3 合併季報（分類PDF/03_季報）p.6、產品別營收附註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工程圖解 01–06（工程圖解/原始碼/*.json 為可編修母檔）</w:t>
      </w:r>
    </w:p>
    <w:p>
      <w:pPr>
        <w:spacing w:after="80"/>
      </w:pPr>
      <w:r>
        <w:rPr>
          <w:rFonts w:ascii="Arial" w:hAnsi="Arial" w:eastAsia="Microsoft JhengHei"/>
          <w:b w:val="0"/>
          <w:color w:val="5B6B75"/>
          <w:sz w:val="18"/>
        </w:rPr>
        <w:t>本文件為研究用工程整理，示意圖非公司原圖；非投資建議。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0B7A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0B7A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Jheng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