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Microsoft JhengHei" w:hAnsi="Microsoft JhengHei" w:eastAsia="Microsoft JhengHei"/>
          <w:b/>
          <w:color w:val="1F3A5F"/>
          <w:sz w:val="40"/>
        </w:rPr>
        <w:t>矽格主要產品｜工藝與工程規格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5B6573"/>
          <w:sz w:val="20"/>
        </w:rPr>
        <w:t>矽格股份有限公司（TWSE:6257）｜比照《竹陞6739研究》《智邦2345研究》工程圖解格式｜產業模組 osat（半導體封裝測試）</w:t>
      </w:r>
    </w:p>
    <w:p>
      <w:pPr>
        <w:spacing w:after="200"/>
      </w:pPr>
      <w:r>
        <w:rPr>
          <w:rFonts w:ascii="Microsoft JhengHei" w:hAnsi="Microsoft JhengHei" w:eastAsia="Microsoft JhengHei"/>
          <w:b w:val="0"/>
          <w:color w:val="5B6573"/>
          <w:sz w:val="18"/>
        </w:rPr>
        <w:t>資料截止：2026-10-02｜主要依據：2025 年報（MOPS F04）p.48–62、p.76、p.81–83；115Q2 合併財報（MOPS 202602 AI1）p.8–9、p.31、p.36–39、p.60–61</w:t>
      </w:r>
    </w:p>
    <w:p>
      <w:pPr>
        <w:pStyle w:val="Heading1"/>
      </w:pPr>
      <w:r>
        <w:t>一、摘要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1"/>
        </w:rPr>
        <w:t>矽格的「工藝」重心在測試而非封裝：2025 年測試營收 158.4 億元、占 80.87%，封裝 35.9 億元、占 18.33%（年報 p.48）。產製過程依序為晶圓凸塊 → 晶圓測試 → IC 封裝（覆晶）→ IC 測試 → 運送服務（p.61），提供從 Bump／WLCSP、晶圓針測（CP）到成品測試（FT）、預燒（Burn-in）與系統級測試（SLT）的一條龍服務。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1"/>
        </w:rPr>
        <w:t>工程上的差異化有三點：一、自製 MAP ATE 測試機，已由邏輯、混合訊號延伸到 RF 與矽光子 EIC（TIA、Driver，112Gbaud）量產測試，並開發 PIC 光訊號測試（p.54、p.56）；二、車用高可靠度體系（IATF 16949、ISO 26262 ASIL D 流程，台灣首家通過的封測廠，p.58）；三、產線自動化（CP AMHS、FT AMR、EAP／RMS、自動排程，p.54）。財務上屬資本密集：1H26 封測事業資本支出 66.0 億元、折舊攤提 20.7 億元（營收 18.5%，115Q2 p.60）。</w:t>
      </w:r>
    </w:p>
    <w:p>
      <w:pPr>
        <w:pStyle w:val="Heading1"/>
      </w:pPr>
      <w:r>
        <w:t>二、產品工程規格總表</w:t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1F3A5F"/>
          <w:sz w:val="19"/>
        </w:rPr>
        <w:t>表 1：營業比重（2025 年報 p.48）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304"/>
            <w:shd w:val="clear" w:color="auto" w:fill="0A7E8C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016"/>
            <w:shd w:val="clear" w:color="auto" w:fill="0A7E8C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2024（千元）</w:t>
            </w:r>
          </w:p>
        </w:tc>
        <w:tc>
          <w:tcPr>
            <w:tcW w:type="dxa" w:w="1296"/>
            <w:shd w:val="clear" w:color="auto" w:fill="0A7E8C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比重</w:t>
            </w:r>
          </w:p>
        </w:tc>
        <w:tc>
          <w:tcPr>
            <w:tcW w:type="dxa" w:w="2016"/>
            <w:shd w:val="clear" w:color="auto" w:fill="0A7E8C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2025（千元）</w:t>
            </w:r>
          </w:p>
        </w:tc>
        <w:tc>
          <w:tcPr>
            <w:tcW w:type="dxa" w:w="1296"/>
            <w:shd w:val="clear" w:color="auto" w:fill="0A7E8C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比重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測試</w:t>
            </w:r>
          </w:p>
        </w:tc>
        <w:tc>
          <w:tcPr>
            <w:tcW w:type="dxa" w:w="201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14,509,556</w:t>
            </w:r>
          </w:p>
        </w:tc>
        <w:tc>
          <w:tcPr>
            <w:tcW w:type="dxa" w:w="129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79.64%</w:t>
            </w:r>
          </w:p>
        </w:tc>
        <w:tc>
          <w:tcPr>
            <w:tcW w:type="dxa" w:w="201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15,839,349</w:t>
            </w:r>
          </w:p>
        </w:tc>
        <w:tc>
          <w:tcPr>
            <w:tcW w:type="dxa" w:w="129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80.87%</w:t>
            </w:r>
          </w:p>
        </w:tc>
      </w:tr>
      <w:tr>
        <w:tc>
          <w:tcPr>
            <w:tcW w:type="dxa" w:w="2304"/>
            <w:shd w:val="clear" w:color="auto" w:fill="F2F6F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封裝</w:t>
            </w:r>
          </w:p>
        </w:tc>
        <w:tc>
          <w:tcPr>
            <w:tcW w:type="dxa" w:w="2016"/>
            <w:shd w:val="clear" w:color="auto" w:fill="F2F6F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3,594,230</w:t>
            </w:r>
          </w:p>
        </w:tc>
        <w:tc>
          <w:tcPr>
            <w:tcW w:type="dxa" w:w="1296"/>
            <w:shd w:val="clear" w:color="auto" w:fill="F2F6F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19.73%</w:t>
            </w:r>
          </w:p>
        </w:tc>
        <w:tc>
          <w:tcPr>
            <w:tcW w:type="dxa" w:w="2016"/>
            <w:shd w:val="clear" w:color="auto" w:fill="F2F6F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3,590,987</w:t>
            </w:r>
          </w:p>
        </w:tc>
        <w:tc>
          <w:tcPr>
            <w:tcW w:type="dxa" w:w="1296"/>
            <w:shd w:val="clear" w:color="auto" w:fill="F2F6F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18.33%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其他</w:t>
            </w:r>
          </w:p>
        </w:tc>
        <w:tc>
          <w:tcPr>
            <w:tcW w:type="dxa" w:w="201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114,358</w:t>
            </w:r>
          </w:p>
        </w:tc>
        <w:tc>
          <w:tcPr>
            <w:tcW w:type="dxa" w:w="129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0.63%</w:t>
            </w:r>
          </w:p>
        </w:tc>
        <w:tc>
          <w:tcPr>
            <w:tcW w:type="dxa" w:w="201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156,860</w:t>
            </w:r>
          </w:p>
        </w:tc>
        <w:tc>
          <w:tcPr>
            <w:tcW w:type="dxa" w:w="129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0.80%</w:t>
            </w:r>
          </w:p>
        </w:tc>
      </w:tr>
      <w:tr>
        <w:tc>
          <w:tcPr>
            <w:tcW w:type="dxa" w:w="2304"/>
            <w:shd w:val="clear" w:color="auto" w:fill="F2F6F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合計</w:t>
            </w:r>
          </w:p>
        </w:tc>
        <w:tc>
          <w:tcPr>
            <w:tcW w:type="dxa" w:w="2016"/>
            <w:shd w:val="clear" w:color="auto" w:fill="F2F6F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18,218,144</w:t>
            </w:r>
          </w:p>
        </w:tc>
        <w:tc>
          <w:tcPr>
            <w:tcW w:type="dxa" w:w="1296"/>
            <w:shd w:val="clear" w:color="auto" w:fill="F2F6F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100%</w:t>
            </w:r>
          </w:p>
        </w:tc>
        <w:tc>
          <w:tcPr>
            <w:tcW w:type="dxa" w:w="2016"/>
            <w:shd w:val="clear" w:color="auto" w:fill="F2F6F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19,587,196</w:t>
            </w:r>
          </w:p>
        </w:tc>
        <w:tc>
          <w:tcPr>
            <w:tcW w:type="dxa" w:w="1296"/>
            <w:shd w:val="clear" w:color="auto" w:fill="F2F6F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100%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Microsoft JhengHei" w:hAnsi="Microsoft JhengHei" w:eastAsia="Microsoft JhengHei"/>
          <w:b/>
          <w:color w:val="1F3A5F"/>
          <w:sz w:val="19"/>
        </w:rPr>
        <w:t>表 2：客戶合約收入細分與部門（115Q2 合併財報 p.36–37、p.60）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456"/>
            <w:shd w:val="clear" w:color="auto" w:fill="0A7E8C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1H26 收入細分（千元）</w:t>
            </w:r>
          </w:p>
        </w:tc>
        <w:tc>
          <w:tcPr>
            <w:tcW w:type="dxa" w:w="2592"/>
            <w:shd w:val="clear" w:color="auto" w:fill="0A7E8C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金額</w:t>
            </w:r>
          </w:p>
        </w:tc>
        <w:tc>
          <w:tcPr>
            <w:tcW w:type="dxa" w:w="3744"/>
            <w:shd w:val="clear" w:color="auto" w:fill="0A7E8C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認列時點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封測收入</w:t>
            </w:r>
          </w:p>
        </w:tc>
        <w:tc>
          <w:tcPr>
            <w:tcW w:type="dxa" w:w="259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11,088,791</w:t>
            </w:r>
          </w:p>
        </w:tc>
        <w:tc>
          <w:tcPr>
            <w:tcW w:type="dxa" w:w="374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隨時間逐步認列</w:t>
            </w:r>
          </w:p>
        </w:tc>
      </w:tr>
      <w:tr>
        <w:tc>
          <w:tcPr>
            <w:tcW w:type="dxa" w:w="3456"/>
            <w:shd w:val="clear" w:color="auto" w:fill="F2F6F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銷貨收入</w:t>
            </w:r>
          </w:p>
        </w:tc>
        <w:tc>
          <w:tcPr>
            <w:tcW w:type="dxa" w:w="2592"/>
            <w:shd w:val="clear" w:color="auto" w:fill="F2F6F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48,432</w:t>
            </w:r>
          </w:p>
        </w:tc>
        <w:tc>
          <w:tcPr>
            <w:tcW w:type="dxa" w:w="3744"/>
            <w:shd w:val="clear" w:color="auto" w:fill="F2F6F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於某一時點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勞務收入</w:t>
            </w:r>
          </w:p>
        </w:tc>
        <w:tc>
          <w:tcPr>
            <w:tcW w:type="dxa" w:w="259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37,250</w:t>
            </w:r>
          </w:p>
        </w:tc>
        <w:tc>
          <w:tcPr>
            <w:tcW w:type="dxa" w:w="374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隨時間逐步認列</w:t>
            </w:r>
          </w:p>
        </w:tc>
      </w:tr>
      <w:tr>
        <w:tc>
          <w:tcPr>
            <w:tcW w:type="dxa" w:w="3456"/>
            <w:shd w:val="clear" w:color="auto" w:fill="F2F6F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合計</w:t>
            </w:r>
          </w:p>
        </w:tc>
        <w:tc>
          <w:tcPr>
            <w:tcW w:type="dxa" w:w="2592"/>
            <w:shd w:val="clear" w:color="auto" w:fill="F2F6F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11,174,473</w:t>
            </w:r>
          </w:p>
        </w:tc>
        <w:tc>
          <w:tcPr>
            <w:tcW w:type="dxa" w:w="3744"/>
            <w:shd w:val="clear" w:color="auto" w:fill="F2F6F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—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部門：封測事業／貿易事業</w:t>
            </w:r>
          </w:p>
        </w:tc>
        <w:tc>
          <w:tcPr>
            <w:tcW w:type="dxa" w:w="2592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11,143,960／30,513</w:t>
            </w:r>
          </w:p>
        </w:tc>
        <w:tc>
          <w:tcPr>
            <w:tcW w:type="dxa" w:w="374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部門損益 2,728,302／227,205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Microsoft JhengHei" w:hAnsi="Microsoft JhengHei" w:eastAsia="Microsoft JhengHei"/>
          <w:b/>
          <w:color w:val="1F3A5F"/>
          <w:sz w:val="19"/>
        </w:rPr>
        <w:t>表 3：主要服務工程規格（公開資訊整理；未揭露者標 N/A，推論處另標）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440"/>
            <w:shd w:val="clear" w:color="auto" w:fill="0A7E8C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160"/>
            <w:shd w:val="clear" w:color="auto" w:fill="0A7E8C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晶圓測試 CP</w:t>
            </w:r>
          </w:p>
        </w:tc>
        <w:tc>
          <w:tcPr>
            <w:tcW w:type="dxa" w:w="2160"/>
            <w:shd w:val="clear" w:color="auto" w:fill="0A7E8C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成品測試 FT／Burn-in／SLT</w:t>
            </w:r>
          </w:p>
        </w:tc>
        <w:tc>
          <w:tcPr>
            <w:tcW w:type="dxa" w:w="2160"/>
            <w:shd w:val="clear" w:color="auto" w:fill="0A7E8C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晶圓級封裝 WLCSP／Bump</w:t>
            </w:r>
          </w:p>
        </w:tc>
        <w:tc>
          <w:tcPr>
            <w:tcW w:type="dxa" w:w="2016"/>
            <w:shd w:val="clear" w:color="auto" w:fill="0A7E8C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覆晶與 wBGA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製程步驟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探針卡接觸晶粒 → 電性與功能測試 → 標記不良晶粒（封裝前區分良窳）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封裝後功能、速度、容忍度、功耗、散熱測試；預燒篩選早夭；系統級測試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晶圓凸塊（Solder Bump、Cu-pillar 無鉛）→ 重佈線 → 植球 → 切割</w:t>
            </w:r>
          </w:p>
        </w:tc>
        <w:tc>
          <w:tcPr>
            <w:tcW w:type="dxa" w:w="201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覆晶接合、底部填充、wBGA 封裝；DPS 晶粒處理</w:t>
            </w:r>
          </w:p>
        </w:tc>
      </w:tr>
      <w:tr>
        <w:tc>
          <w:tcPr>
            <w:tcW w:type="dxa" w:w="1440"/>
            <w:shd w:val="clear" w:color="auto" w:fill="F2F6F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關鍵設備</w:t>
            </w:r>
          </w:p>
        </w:tc>
        <w:tc>
          <w:tcPr>
            <w:tcW w:type="dxa" w:w="2160"/>
            <w:shd w:val="clear" w:color="auto" w:fill="F2F6F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ATE（外購＋自製 MAP ATE）、Prober、探針卡</w:t>
            </w:r>
          </w:p>
        </w:tc>
        <w:tc>
          <w:tcPr>
            <w:tcW w:type="dxa" w:w="2160"/>
            <w:shd w:val="clear" w:color="auto" w:fill="F2F6F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ATE、Handler、Load Board、Burn-in 爐、SLT 機台</w:t>
            </w:r>
          </w:p>
        </w:tc>
        <w:tc>
          <w:tcPr>
            <w:tcW w:type="dxa" w:w="2160"/>
            <w:shd w:val="clear" w:color="auto" w:fill="F2F6F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凸塊與 WLCSP 產線（8／12 吋）</w:t>
            </w:r>
          </w:p>
        </w:tc>
        <w:tc>
          <w:tcPr>
            <w:tcW w:type="dxa" w:w="2016"/>
            <w:shd w:val="clear" w:color="auto" w:fill="F2F6F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覆晶設備、基板（日月光電子、南亞電路板）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關鍵尺寸／公差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N/A（未揭露）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N/A（未揭露）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N/A（未揭露）；年報稱具共面性、電源管理與散熱優勢</w:t>
            </w:r>
          </w:p>
        </w:tc>
        <w:tc>
          <w:tcPr>
            <w:tcW w:type="dxa" w:w="201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N/A（未揭露）</w:t>
            </w:r>
          </w:p>
        </w:tc>
      </w:tr>
      <w:tr>
        <w:tc>
          <w:tcPr>
            <w:tcW w:type="dxa" w:w="1440"/>
            <w:shd w:val="clear" w:color="auto" w:fill="F2F6F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良率／檢測關口</w:t>
            </w:r>
          </w:p>
        </w:tc>
        <w:tc>
          <w:tcPr>
            <w:tcW w:type="dxa" w:w="2160"/>
            <w:shd w:val="clear" w:color="auto" w:fill="F2F6F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CP 良率回饋客戶與晶圓廠（研究推論）</w:t>
            </w:r>
          </w:p>
        </w:tc>
        <w:tc>
          <w:tcPr>
            <w:tcW w:type="dxa" w:w="2160"/>
            <w:shd w:val="clear" w:color="auto" w:fill="F2F6F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分 Bin 出貨；車用 VDA6.3、ISO 26262 流程（p.58）</w:t>
            </w:r>
          </w:p>
        </w:tc>
        <w:tc>
          <w:tcPr>
            <w:tcW w:type="dxa" w:w="2160"/>
            <w:shd w:val="clear" w:color="auto" w:fill="F2F6F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WLCSP 小尺寸、高良率（p.55）</w:t>
            </w:r>
          </w:p>
        </w:tc>
        <w:tc>
          <w:tcPr>
            <w:tcW w:type="dxa" w:w="2016"/>
            <w:shd w:val="clear" w:color="auto" w:fill="F2F6F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N/A（未揭露）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主要應用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手機 SoC、AI 加速器、ASIC、3 奈米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AI／HPC、車用、網通、RF／mmWave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AI、ASIC、手機、車用、高速運算（p.61）</w:t>
            </w:r>
          </w:p>
        </w:tc>
        <w:tc>
          <w:tcPr>
            <w:tcW w:type="dxa" w:w="201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矽光子基板與封裝、CPO 量產準備（p.54–55）</w:t>
            </w:r>
          </w:p>
        </w:tc>
      </w:tr>
    </w:tbl>
    <w:p>
      <w:pPr>
        <w:spacing w:after="40"/>
      </w:pPr>
    </w:p>
    <w:p>
      <w:pPr>
        <w:pStyle w:val="Heading1"/>
      </w:pPr>
      <w:r>
        <w:t>三、封測流程與測試平台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封測流程總覽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JhengHei" w:hAnsi="Microsoft JhengHei" w:eastAsia="Microsoft JhengHei"/>
          <w:b w:val="0"/>
          <w:color w:val="5B6573"/>
          <w:sz w:val="18"/>
        </w:rPr>
        <w:t>圖 1：封測流程總覽（依 2025 年報 p.61 產製過程；示意圖）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1"/>
        </w:rPr>
        <w:t>矽格從凸塊與晶圓級封裝做到成品測試，客戶可把同一顆晶片的 CP、封裝、FT 一次交付，縮短交期；但營收結構仍以測試為主，封裝主要服務 WLCSP、Bump、Flip Chip 等利基製程（p.48、p.58）。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測試平台架構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JhengHei" w:hAnsi="Microsoft JhengHei" w:eastAsia="Microsoft JhengHei"/>
          <w:b w:val="0"/>
          <w:color w:val="5B6573"/>
          <w:sz w:val="18"/>
        </w:rPr>
        <w:t>圖 2：測試平台架構（中層為通用配置，研究推論；ATE 與自動化依年報研發成果）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1"/>
        </w:rPr>
        <w:t>測試產線的核心是 ATE：測試程式在 ATE 上執行，晶圓端透過探針卡與 Prober 接觸晶粒，成品端透過 Load Board 與 Handler 取放 IC。矽格自 2022 年起開發自製 MAP ATE，2023–2025 年陸續導入邏輯、混合訊號、IoT RFSoC、TV tuner、BT／WiFi、mmWave Radar 量產測試，2026 年擴大到矽光子 EIC（p.54）。外購 ATE 品牌與機台數公司未揭露。</w:t>
      </w:r>
    </w:p>
    <w:p>
      <w:pPr>
        <w:pStyle w:val="Heading1"/>
      </w:pPr>
      <w:r>
        <w:t>四、新技術測試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新技術測試路線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JhengHei" w:hAnsi="Microsoft JhengHei" w:eastAsia="Microsoft JhengHei"/>
          <w:b w:val="0"/>
          <w:color w:val="5B6573"/>
          <w:sz w:val="18"/>
        </w:rPr>
        <w:t>圖 3：新技術測試路線（依年報研發成果與計畫開發新產品；營收占比未揭露）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1"/>
        </w:rPr>
        <w:t>矽光子布局由既有的電晶片（EIC）測試延伸到光晶片（PIC）測試，目標是「光電融合」的完整測試方案（p.56）；封裝端則精進矽光子基板與封裝技術、推動 CPO 量產準備（p.54–55）。先進封裝方面，計畫研究 2.5D／3D／CoWoS 測試、FOPLP 測試，並提升 Burn-in 與 SFT／SLT 產能（p.48–49）。上述項目營收貢獻公司未單獨揭露；法說二手資料顯示 AI／ASIC／矽光子／HPC 合計約占 2026 年 1–5 月營收 23%。</w:t>
      </w:r>
    </w:p>
    <w:p>
      <w:pPr>
        <w:pStyle w:val="Heading1"/>
      </w:pPr>
      <w:r>
        <w:t>五、產能、資本支出與財務結構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產能與資本支出時程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JhengHei" w:hAnsi="Microsoft JhengHei" w:eastAsia="Microsoft JhengHei"/>
          <w:b w:val="0"/>
          <w:color w:val="5B6573"/>
          <w:sz w:val="18"/>
        </w:rPr>
        <w:t>圖 4：產能與資本支出時程（年報 p.76、p.81；湖口二廠量產月份與 88 億指引為媒體報導）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折舊槓桿與獲利結構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JhengHei" w:hAnsi="Microsoft JhengHei" w:eastAsia="Microsoft JhengHei"/>
          <w:b w:val="0"/>
          <w:color w:val="5B6573"/>
          <w:sz w:val="18"/>
        </w:rPr>
        <w:t>圖 5：折舊槓桿與獲利結構（115Q2 合併財報；上排經營槓桿為研究推論）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1"/>
        </w:rPr>
        <w:t>封測屬高固定成本：1H26 折舊攤提 20.7 億元，占營收 18.5%。稼動率與高階測試占比提升時，毛利率放大（25Q3 27.2% → 26Q2 34.2%）；反之新廠初期折舊先於營收，會壓抑毛利率。合併淨利中約一成屬台星科非控制權益（持股 47.45%），Kevin 模型以 W＝歸母 ÷ 合併＝0.8975 扣除。</w:t>
      </w:r>
    </w:p>
    <w:p>
      <w:pPr>
        <w:pStyle w:val="Heading1"/>
      </w:pPr>
      <w:r>
        <w:t>六、產業位置與技術門檻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產業價值鏈位置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JhengHei" w:hAnsi="Microsoft JhengHei" w:eastAsia="Microsoft JhengHei"/>
          <w:b w:val="0"/>
          <w:color w:val="5B6573"/>
          <w:sz w:val="18"/>
        </w:rPr>
        <w:t>圖 6：產業價值鏈位置（年報 p.53–62；客戶以代號揭露）</w:t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1F3A5F"/>
          <w:sz w:val="19"/>
        </w:rPr>
        <w:t>表 4：技術與營運門檻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016"/>
            <w:shd w:val="clear" w:color="auto" w:fill="0A7E8C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門檻</w:t>
            </w:r>
          </w:p>
        </w:tc>
        <w:tc>
          <w:tcPr>
            <w:tcW w:type="dxa" w:w="4896"/>
            <w:shd w:val="clear" w:color="auto" w:fill="0A7E8C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說明</w:t>
            </w:r>
          </w:p>
        </w:tc>
        <w:tc>
          <w:tcPr>
            <w:tcW w:type="dxa" w:w="3024"/>
            <w:shd w:val="clear" w:color="auto" w:fill="0A7E8C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可被複製的難度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自製測試機</w:t>
            </w:r>
          </w:p>
        </w:tc>
        <w:tc>
          <w:tcPr>
            <w:tcW w:type="dxa" w:w="489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MAP ATE 已量產邏輯、RF、矽光子 EIC 測試（p.54）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中高：需長期軟硬體與測試程式累積</w:t>
            </w:r>
          </w:p>
        </w:tc>
      </w:tr>
      <w:tr>
        <w:tc>
          <w:tcPr>
            <w:tcW w:type="dxa" w:w="2016"/>
            <w:shd w:val="clear" w:color="auto" w:fill="F2F6F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車用功能安全</w:t>
            </w:r>
          </w:p>
        </w:tc>
        <w:tc>
          <w:tcPr>
            <w:tcW w:type="dxa" w:w="4896"/>
            <w:shd w:val="clear" w:color="auto" w:fill="F2F6F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ISO 26262 ASIL D 流程驗證、IATF 16949（p.58）</w:t>
            </w:r>
          </w:p>
        </w:tc>
        <w:tc>
          <w:tcPr>
            <w:tcW w:type="dxa" w:w="3024"/>
            <w:shd w:val="clear" w:color="auto" w:fill="F2F6F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中：認證與客戶稽核時間長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資本與產能</w:t>
            </w:r>
          </w:p>
        </w:tc>
        <w:tc>
          <w:tcPr>
            <w:tcW w:type="dxa" w:w="489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2026H1 capex 66.0 億、2026 指引 88 億；新廠 2026H2–2027 開出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中：同業同步擴產，景氣反轉時易過剩（p.60）</w:t>
            </w:r>
          </w:p>
        </w:tc>
      </w:tr>
      <w:tr>
        <w:tc>
          <w:tcPr>
            <w:tcW w:type="dxa" w:w="2016"/>
            <w:shd w:val="clear" w:color="auto" w:fill="F2F6F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客戶關係</w:t>
            </w:r>
          </w:p>
        </w:tc>
        <w:tc>
          <w:tcPr>
            <w:tcW w:type="dxa" w:w="4896"/>
            <w:shd w:val="clear" w:color="auto" w:fill="F2F6F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前三大客戶 45.3%，客戶甲 22.3%（p.62）</w:t>
            </w:r>
          </w:p>
        </w:tc>
        <w:tc>
          <w:tcPr>
            <w:tcW w:type="dxa" w:w="3024"/>
            <w:shd w:val="clear" w:color="auto" w:fill="F2F6F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—（集中度是風險也是門檻）</w:t>
            </w:r>
          </w:p>
        </w:tc>
      </w:tr>
    </w:tbl>
    <w:p>
      <w:pPr>
        <w:spacing w:after="40"/>
      </w:pPr>
    </w:p>
    <w:p>
      <w:pPr>
        <w:pStyle w:val="Heading1"/>
      </w:pPr>
      <w:r>
        <w:t>七、規格缺口（待法說簡報或公司揭露補齊）</w:t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1F3A5F"/>
          <w:sz w:val="19"/>
        </w:rPr>
        <w:t>表 5：規格缺口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456"/>
            <w:shd w:val="clear" w:color="auto" w:fill="0A7E8C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缺口</w:t>
            </w:r>
          </w:p>
        </w:tc>
        <w:tc>
          <w:tcPr>
            <w:tcW w:type="dxa" w:w="2880"/>
            <w:shd w:val="clear" w:color="auto" w:fill="0A7E8C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3600"/>
            <w:shd w:val="clear" w:color="auto" w:fill="0A7E8C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建議來源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測試機台數、稼動率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判斷經營槓桿位置</w:t>
            </w:r>
          </w:p>
        </w:tc>
        <w:tc>
          <w:tcPr>
            <w:tcW w:type="dxa" w:w="360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法說簡報、股東會問答</w:t>
            </w:r>
          </w:p>
        </w:tc>
      </w:tr>
      <w:tr>
        <w:tc>
          <w:tcPr>
            <w:tcW w:type="dxa" w:w="3456"/>
            <w:shd w:val="clear" w:color="auto" w:fill="F2F6F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應用別／製程別營收占比（官方）</w:t>
            </w:r>
          </w:p>
        </w:tc>
        <w:tc>
          <w:tcPr>
            <w:tcW w:type="dxa" w:w="2880"/>
            <w:shd w:val="clear" w:color="auto" w:fill="F2F6F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驗證 AI／ASIC／矽光子成長</w:t>
            </w:r>
          </w:p>
        </w:tc>
        <w:tc>
          <w:tcPr>
            <w:tcW w:type="dxa" w:w="3600"/>
            <w:shd w:val="clear" w:color="auto" w:fill="F2F6F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法說簡報（官方版）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矽光子 EIC／PIC 營收與客戶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驗證新技術貢獻</w:t>
            </w:r>
          </w:p>
        </w:tc>
        <w:tc>
          <w:tcPr>
            <w:tcW w:type="dxa" w:w="360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法說、客戶公告；未公告不推定</w:t>
            </w:r>
          </w:p>
        </w:tc>
      </w:tr>
      <w:tr>
        <w:tc>
          <w:tcPr>
            <w:tcW w:type="dxa" w:w="3456"/>
            <w:shd w:val="clear" w:color="auto" w:fill="F2F6F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湖口二廠、中興三廠產能（機台數、產值）</w:t>
            </w:r>
          </w:p>
        </w:tc>
        <w:tc>
          <w:tcPr>
            <w:tcW w:type="dxa" w:w="2880"/>
            <w:shd w:val="clear" w:color="auto" w:fill="F2F6F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估算 2027 營收</w:t>
            </w:r>
          </w:p>
        </w:tc>
        <w:tc>
          <w:tcPr>
            <w:tcW w:type="dxa" w:w="3600"/>
            <w:shd w:val="clear" w:color="auto" w:fill="F2F6F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公司重大訊息、法說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2026Q1 合併財報（Drive 已有 7.2MB 檔）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補單季明細</w:t>
            </w:r>
          </w:p>
        </w:tc>
        <w:tc>
          <w:tcPr>
            <w:tcW w:type="dxa" w:w="360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本機以 Drive 桌面版讀取</w:t>
            </w:r>
          </w:p>
        </w:tc>
      </w:tr>
    </w:tbl>
    <w:p>
      <w:pPr>
        <w:spacing w:after="40"/>
      </w:pPr>
    </w:p>
    <w:p>
      <w:pPr>
        <w:pStyle w:val="Heading1"/>
      </w:pPr>
      <w:r>
        <w:t>八、來源</w:t>
      </w:r>
    </w:p>
    <w:p>
      <w:pPr>
        <w:pStyle w:val="ListBullet"/>
      </w:pPr>
      <w:r>
        <w:rPr>
          <w:rFonts w:ascii="Microsoft JhengHei" w:hAnsi="Microsoft JhengHei" w:eastAsia="Microsoft JhengHei"/>
          <w:sz w:val="19"/>
        </w:rPr>
        <w:t>矽格 2025 年報（分類PDF/01_年報/矽格_6257_2025_年報_中文.pdf）p.1–9、p.48–66、p.76、p.81–83</w:t>
      </w:r>
    </w:p>
    <w:p>
      <w:pPr>
        <w:pStyle w:val="ListBullet"/>
      </w:pPr>
      <w:r>
        <w:rPr>
          <w:rFonts w:ascii="Microsoft JhengHei" w:hAnsi="Microsoft JhengHei" w:eastAsia="Microsoft JhengHei"/>
          <w:sz w:val="19"/>
        </w:rPr>
        <w:t>矽格 115Q2 合併財報（分類PDF/03_季報/矽格_6257_2026Q2_合併季報_含上半年累計_中文.pdf）p.8–9、p.31、p.36–39、p.60–61</w:t>
      </w:r>
    </w:p>
    <w:p>
      <w:pPr>
        <w:pStyle w:val="ListBullet"/>
      </w:pPr>
      <w:r>
        <w:rPr>
          <w:rFonts w:ascii="Microsoft JhengHei" w:hAnsi="Microsoft JhengHei" w:eastAsia="Microsoft JhengHei"/>
          <w:sz w:val="19"/>
        </w:rPr>
        <w:t>矽格 2024 年報（分類PDF/01_年報/矽格_6257_2024_年報_中文.pdf）已歸檔</w:t>
      </w:r>
    </w:p>
    <w:p>
      <w:pPr>
        <w:pStyle w:val="ListBullet"/>
      </w:pPr>
      <w:r>
        <w:rPr>
          <w:rFonts w:ascii="Microsoft JhengHei" w:hAnsi="Microsoft JhengHei" w:eastAsia="Microsoft JhengHei"/>
          <w:sz w:val="19"/>
        </w:rPr>
        <w:t>Bigdata.com（FMP）25Q2–25Q4 季度損益；優分析、鉅亨網（法說二手：應用別、capex 指引）</w:t>
      </w:r>
    </w:p>
    <w:p>
      <w:pPr>
        <w:pStyle w:val="ListBullet"/>
      </w:pPr>
      <w:r>
        <w:rPr>
          <w:rFonts w:ascii="Microsoft JhengHei" w:hAnsi="Microsoft JhengHei" w:eastAsia="Microsoft JhengHei"/>
          <w:sz w:val="19"/>
        </w:rPr>
        <w:t>工程圖解 01–06（工程圖解/原始碼/*.json 為可編修母檔）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5B6573"/>
          <w:sz w:val="18"/>
        </w:rPr>
        <w:t>本文件為研究用工程整理，示意圖非公司原圖；非投資建議。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A7E8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A7E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