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00"/>
      </w:pPr>
      <w:r>
        <w:rPr>
          <w:rFonts w:ascii="Microsoft JhengHei" w:eastAsia="Microsoft JhengHei" w:hAnsi="Microsoft JhengHei"/>
          <w:color w:val="5B6573"/>
          <w:sz w:val="22"/>
          <w:szCs w:val="22"/>
        </w:rPr>
        <w:t xml:space="preserve">個股研究報告</w:t>
      </w:r>
    </w:p>
    <w:p>
      <w:pPr>
        <w:spacing w:after="60" w:line="300"/>
      </w:pPr>
      <w:r>
        <w:rPr>
          <w:rFonts w:ascii="Microsoft JhengHei" w:eastAsia="Microsoft JhengHei" w:hAnsi="Microsoft JhengHei"/>
          <w:b/>
          <w:bCs/>
          <w:color w:val="1F3A5F"/>
          <w:sz w:val="40"/>
          <w:szCs w:val="40"/>
        </w:rPr>
        <w:t xml:space="preserve">矽格 Sigurd Microelectronics（6257.TW）</w:t>
      </w:r>
    </w:p>
    <w:p>
      <w:pPr>
        <w:spacing w:after="120" w:line="300"/>
      </w:pPr>
      <w:r>
        <w:rPr>
          <w:rFonts w:ascii="Microsoft JhengHei" w:eastAsia="Microsoft JhengHei" w:hAnsi="Microsoft JhengHei"/>
          <w:b/>
          <w:bCs/>
          <w:color w:val="B42318"/>
          <w:sz w:val="24"/>
          <w:szCs w:val="24"/>
        </w:rPr>
        <w:t xml:space="preserve">AI ASIC／矽光子測試放量、湖口二廠開出——基本面創高，但股價已跑在 Kevin 模型前面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5"/>
        <w:gridCol w:w="2050"/>
        <w:gridCol w:w="2460"/>
        <w:gridCol w:w="2053"/>
      </w:tblGrid>
      <w:tr>
        <w:trPr>
          <w:tblHeader/>
        </w:trPr>
        <w:tc>
          <w:tcPr>
            <w:tcW w:type="dxa" w:w="3075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05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數值</w:t>
            </w:r>
          </w:p>
        </w:tc>
        <w:tc>
          <w:tcPr>
            <w:tcW w:type="dxa" w:w="246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053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數值</w:t>
            </w:r>
          </w:p>
        </w:tc>
      </w:tr>
      <w:tr>
        <w:tc>
          <w:tcPr>
            <w:tcW w:type="dxa" w:w="307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收盤價（2026/10/01）</w:t>
            </w:r>
          </w:p>
        </w:tc>
        <w:tc>
          <w:tcPr>
            <w:tcW w:type="dxa" w:w="205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NT$256.5</w:t>
            </w:r>
          </w:p>
        </w:tc>
        <w:tc>
          <w:tcPr>
            <w:tcW w:type="dxa" w:w="24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市值</w:t>
            </w:r>
          </w:p>
        </w:tc>
        <w:tc>
          <w:tcPr>
            <w:tcW w:type="dxa" w:w="205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NT$1,228 億</w:t>
            </w:r>
          </w:p>
        </w:tc>
      </w:tr>
      <w:tr>
        <w:tc>
          <w:tcPr>
            <w:tcW w:type="dxa" w:w="3075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52 週區間</w:t>
            </w:r>
          </w:p>
        </w:tc>
        <w:tc>
          <w:tcPr>
            <w:tcW w:type="dxa" w:w="2050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87.5 – 279.5</w:t>
            </w:r>
          </w:p>
        </w:tc>
        <w:tc>
          <w:tcPr>
            <w:tcW w:type="dxa" w:w="2460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YTD／1 年漲幅</w:t>
            </w:r>
          </w:p>
        </w:tc>
        <w:tc>
          <w:tcPr>
            <w:tcW w:type="dxa" w:w="2053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+120%／+179%</w:t>
            </w:r>
          </w:p>
        </w:tc>
      </w:tr>
      <w:tr>
        <w:tc>
          <w:tcPr>
            <w:tcW w:type="dxa" w:w="307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TTM EPS（25Q3–26Q2）</w:t>
            </w:r>
          </w:p>
        </w:tc>
        <w:tc>
          <w:tcPr>
            <w:tcW w:type="dxa" w:w="205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NT$8.53</w:t>
            </w:r>
          </w:p>
        </w:tc>
        <w:tc>
          <w:tcPr>
            <w:tcW w:type="dxa" w:w="24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TTM P/E</w:t>
            </w:r>
          </w:p>
        </w:tc>
        <w:tc>
          <w:tcPr>
            <w:tcW w:type="dxa" w:w="205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30.1x</w:t>
            </w:r>
          </w:p>
        </w:tc>
      </w:tr>
      <w:tr>
        <w:tc>
          <w:tcPr>
            <w:tcW w:type="dxa" w:w="3075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每股淨值（26Q2）</w:t>
            </w:r>
          </w:p>
        </w:tc>
        <w:tc>
          <w:tcPr>
            <w:tcW w:type="dxa" w:w="2050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約 NT$52.7</w:t>
            </w:r>
          </w:p>
        </w:tc>
        <w:tc>
          <w:tcPr>
            <w:tcW w:type="dxa" w:w="2460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P/B</w:t>
            </w:r>
          </w:p>
        </w:tc>
        <w:tc>
          <w:tcPr>
            <w:tcW w:type="dxa" w:w="2053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約 4.9x</w:t>
            </w:r>
          </w:p>
        </w:tc>
      </w:tr>
      <w:tr>
        <w:tc>
          <w:tcPr>
            <w:tcW w:type="dxa" w:w="307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Kevin 模型目標價（投資組合錨）</w:t>
            </w:r>
          </w:p>
        </w:tc>
        <w:tc>
          <w:tcPr>
            <w:tcW w:type="dxa" w:w="205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NT$191 – 216</w:t>
            </w:r>
          </w:p>
        </w:tc>
        <w:tc>
          <w:tcPr>
            <w:tcW w:type="dxa" w:w="24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對現價空間</w:t>
            </w:r>
          </w:p>
        </w:tc>
        <w:tc>
          <w:tcPr>
            <w:tcW w:type="dxa" w:w="205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−26% ～ −16%</w:t>
            </w:r>
          </w:p>
        </w:tc>
      </w:tr>
    </w:tbl>
    <w:p>
      <w:pPr>
        <w:spacing w:after="120" w:line="300"/>
      </w:pPr>
      <w:r>
        <w:rPr>
          <w:rFonts w:ascii="Microsoft JhengHei" w:eastAsia="Microsoft JhengHei" w:hAnsi="Microsoft JhengHei"/>
          <w:i/>
          <w:iCs/>
          <w:color w:val="5B6573"/>
          <w:sz w:val="17"/>
          <w:szCs w:val="17"/>
        </w:rPr>
        <w:t xml:space="preserve">報告日期：2026-10-01。財報數字取自公司 2026Q2 合併財報（經 Bigdata.com／FactSet-FMP 資料源），月營收取自公司公告新聞稿。金額單位除另註明外為新台幣。</w:t>
      </w:r>
    </w:p>
    <w:p>
      <w:pPr>
        <w:pStyle w:val="Heading1"/>
        <w:pBdr>
          <w:bottom w:val="single" w:color="1F3A5F" w:sz="8" w:space="4"/>
        </w:pBdr>
        <w:spacing w:after="140" w:before="280"/>
      </w:pPr>
      <w:r>
        <w:rPr>
          <w:rFonts w:ascii="Microsoft JhengHei" w:eastAsia="Microsoft JhengHei" w:hAnsi="Microsoft JhengHei"/>
          <w:b/>
          <w:bCs/>
          <w:color w:val="1F3A5F"/>
          <w:sz w:val="30"/>
          <w:szCs w:val="30"/>
        </w:rPr>
        <w:t xml:space="preserve">一、核心結論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基本面：成長確認。</w:t>
      </w:r>
      <w:r>
        <w:rPr>
          <w:rFonts w:ascii="Microsoft JhengHei" w:eastAsia="Microsoft JhengHei" w:hAnsi="Microsoft JhengHei"/>
          <w:sz w:val="21"/>
          <w:szCs w:val="21"/>
        </w:rPr>
        <w:t xml:space="preserve">2026 前 8 月營收 NT$152.6 億（YoY +20.5%），7、8 月連兩月破 20 億創新高；26Q2 毛利率 34.2%（YoY +2.8ppt）、EPS 2.55 元，上半年 EPS 4.65 元創同期新高。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估值：股價已預支成長。</w:t>
      </w:r>
      <w:r>
        <w:rPr>
          <w:rFonts w:ascii="Microsoft JhengHei" w:eastAsia="Microsoft JhengHei" w:hAnsi="Microsoft JhengHei"/>
          <w:sz w:val="21"/>
          <w:szCs w:val="21"/>
        </w:rPr>
        <w:t xml:space="preserve">Kevin 模型預期 EPS（N）9.42 元，對應目前股價 27.2x；投資組合錨定下模型目標價 NT$216（帳面基期）／NT$191（調整基期），低於現價 16%–26%。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若改用 CPO 錨定（00891）</w:t>
      </w:r>
      <w:r>
        <w:rPr>
          <w:rFonts w:ascii="Microsoft JhengHei" w:eastAsia="Microsoft JhengHei" w:hAnsi="Microsoft JhengHei"/>
          <w:sz w:val="21"/>
          <w:szCs w:val="21"/>
        </w:rPr>
        <w:t xml:space="preserve">：目標價 NT$241–266，約 −6% ～ +4%，即便給「矽光子概念」溢價，現價也只到合理區上緣。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損益兩平條件：</w:t>
      </w:r>
      <w:r>
        <w:rPr>
          <w:rFonts w:ascii="Microsoft JhengHei" w:eastAsia="Microsoft JhengHei" w:hAnsi="Microsoft JhengHei"/>
          <w:sz w:val="21"/>
          <w:szCs w:val="21"/>
        </w:rPr>
        <w:t xml:space="preserve">投資組合錨定下，合併淨利率需達約 24.3%（H1 實績 22.2%、Q2 23.1%），模型目標價才追上現價——需要 H2 新產能帶動利潤率再上一階。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判讀：</w:t>
      </w:r>
      <w:r>
        <w:rPr>
          <w:rFonts w:ascii="Microsoft JhengHei" w:eastAsia="Microsoft JhengHei" w:hAnsi="Microsoft JhengHei"/>
          <w:sz w:val="21"/>
          <w:szCs w:val="21"/>
        </w:rPr>
        <w:t xml:space="preserve">中性偏貴。基本面趨勢向上但價位已反映 2027 年部分成長（單一法人 2027E EPS 12.66 → 20x）。較佳策略是等 Q3 財報（約 11 月上旬）確認湖口二廠貢獻與毛利率，或等拉回至模型區間再評估。</w:t>
      </w:r>
    </w:p>
    <w:p>
      <w:pPr>
        <w:pStyle w:val="Heading1"/>
        <w:pBdr>
          <w:bottom w:val="single" w:color="1F3A5F" w:sz="8" w:space="4"/>
        </w:pBdr>
        <w:spacing w:after="140" w:before="280"/>
      </w:pPr>
      <w:r>
        <w:rPr>
          <w:rFonts w:ascii="Microsoft JhengHei" w:eastAsia="Microsoft JhengHei" w:hAnsi="Microsoft JhengHei"/>
          <w:b/>
          <w:bCs/>
          <w:color w:val="1F3A5F"/>
          <w:sz w:val="30"/>
          <w:szCs w:val="30"/>
        </w:rPr>
        <w:t xml:space="preserve">二、公司概況與營運結構</w:t>
      </w:r>
    </w:p>
    <w:p>
      <w:pPr>
        <w:spacing w:after="100" w:line="300"/>
      </w:pPr>
      <w:r>
        <w:rPr>
          <w:rFonts w:ascii="Microsoft JhengHei" w:eastAsia="Microsoft JhengHei" w:hAnsi="Microsoft JhengHei"/>
          <w:sz w:val="21"/>
          <w:szCs w:val="21"/>
        </w:rPr>
        <w:t xml:space="preserve">矽格為台灣專業 IC 測試為主、封裝為輔的 OSAT，總部新竹，員工約 5,000 人。服務涵蓋晶圓針測（CP）、成品測試（FT）、WLCSP 測試、Burn-in、雷射修補與 RF／光學／MEMS 封裝；客戶以 IC 設計公司、IDM 與晶圓代工為主。合併報表含非全資子公司（如台星科），少數股權約占合併淨利 10%。</w:t>
      </w:r>
    </w:p>
    <w:p>
      <w:pPr>
        <w:pStyle w:val="Heading2"/>
        <w:spacing w:after="100" w:before="200"/>
      </w:pPr>
      <w:r>
        <w:rPr>
          <w:rFonts w:ascii="Microsoft JhengHei" w:eastAsia="Microsoft JhengHei" w:hAnsi="Microsoft JhengHei"/>
          <w:b/>
          <w:bCs/>
          <w:color w:val="B42318"/>
          <w:sz w:val="24"/>
          <w:szCs w:val="24"/>
        </w:rPr>
        <w:t xml:space="preserve">應用別營收結構（2026 年 1–5 月，公司法說）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445"/>
        <w:gridCol w:w="5302"/>
      </w:tblGrid>
      <w:tr>
        <w:trPr>
          <w:tblHeader/>
        </w:trPr>
        <w:tc>
          <w:tcPr>
            <w:tcW w:type="dxa" w:w="2891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應用別</w:t>
            </w:r>
          </w:p>
        </w:tc>
        <w:tc>
          <w:tcPr>
            <w:tcW w:type="dxa" w:w="1445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營收占比</w:t>
            </w:r>
          </w:p>
        </w:tc>
        <w:tc>
          <w:tcPr>
            <w:tcW w:type="dxa" w:w="5302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趨勢</w:t>
            </w:r>
          </w:p>
        </w:tc>
      </w:tr>
      <w:tr>
        <w:tc>
          <w:tcPr>
            <w:tcW w:type="dxa" w:w="289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智慧手機</w:t>
            </w:r>
          </w:p>
        </w:tc>
        <w:tc>
          <w:tcPr>
            <w:tcW w:type="dxa" w:w="144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31%</w:t>
            </w:r>
          </w:p>
        </w:tc>
        <w:tc>
          <w:tcPr>
            <w:tcW w:type="dxa" w:w="5302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占比由過去 40%+ 下滑，仍為最大單一應用</w:t>
            </w:r>
          </w:p>
        </w:tc>
      </w:tr>
      <w:tr>
        <w:tc>
          <w:tcPr>
            <w:tcW w:type="dxa" w:w="2891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AI / ASIC / 矽光子 / HPC</w:t>
            </w:r>
          </w:p>
        </w:tc>
        <w:tc>
          <w:tcPr>
            <w:tcW w:type="dxa" w:w="1445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23%</w:t>
            </w:r>
          </w:p>
        </w:tc>
        <w:tc>
          <w:tcPr>
            <w:tcW w:type="dxa" w:w="5302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去年同期 19%；1–5 月營收 24 億，YoY +60%</w:t>
            </w:r>
          </w:p>
        </w:tc>
      </w:tr>
      <w:tr>
        <w:tc>
          <w:tcPr>
            <w:tcW w:type="dxa" w:w="289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網通 / IoT</w:t>
            </w:r>
          </w:p>
        </w:tc>
        <w:tc>
          <w:tcPr>
            <w:tcW w:type="dxa" w:w="144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  <w:tc>
          <w:tcPr>
            <w:tcW w:type="dxa" w:w="5302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AI Connectivity（高速互連、交換器）帶動</w:t>
            </w:r>
          </w:p>
        </w:tc>
      </w:tr>
      <w:tr>
        <w:tc>
          <w:tcPr>
            <w:tcW w:type="dxa" w:w="2891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消費電子 / 智慧家庭</w:t>
            </w:r>
          </w:p>
        </w:tc>
        <w:tc>
          <w:tcPr>
            <w:tcW w:type="dxa" w:w="1445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18%</w:t>
            </w:r>
          </w:p>
        </w:tc>
        <w:tc>
          <w:tcPr>
            <w:tcW w:type="dxa" w:w="5302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平穩</w:t>
            </w:r>
          </w:p>
        </w:tc>
      </w:tr>
      <w:tr>
        <w:tc>
          <w:tcPr>
            <w:tcW w:type="dxa" w:w="289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車用 / 醫療</w:t>
            </w:r>
          </w:p>
        </w:tc>
        <w:tc>
          <w:tcPr>
            <w:tcW w:type="dxa" w:w="144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6%</w:t>
            </w:r>
          </w:p>
        </w:tc>
        <w:tc>
          <w:tcPr>
            <w:tcW w:type="dxa" w:w="5302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平穩</w:t>
            </w:r>
          </w:p>
        </w:tc>
      </w:tr>
    </w:tbl>
    <w:p>
      <w:pPr>
        <w:spacing w:after="120" w:line="300"/>
      </w:pPr>
      <w:r>
        <w:rPr>
          <w:rFonts w:ascii="Microsoft JhengHei" w:eastAsia="Microsoft JhengHei" w:hAnsi="Microsoft JhengHei"/>
          <w:i/>
          <w:iCs/>
          <w:color w:val="5B6573"/>
          <w:sz w:val="17"/>
          <w:szCs w:val="17"/>
        </w:rPr>
        <w:t xml:space="preserve">另：記憶體相關產品 2026H1 約占合併營收 10%，YoY +25%（與上表不同維度）。</w:t>
      </w:r>
    </w:p>
    <w:p>
      <w:pPr>
        <w:pStyle w:val="Heading2"/>
        <w:spacing w:after="100" w:before="200"/>
      </w:pPr>
      <w:r>
        <w:rPr>
          <w:rFonts w:ascii="Microsoft JhengHei" w:eastAsia="Microsoft JhengHei" w:hAnsi="Microsoft JhengHei"/>
          <w:b/>
          <w:bCs/>
          <w:color w:val="B42318"/>
          <w:sz w:val="24"/>
          <w:szCs w:val="24"/>
        </w:rPr>
        <w:t xml:space="preserve">技術布局重點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sz w:val="21"/>
          <w:szCs w:val="21"/>
        </w:rPr>
        <w:t xml:space="preserve">AI ASIC：已取得多家 ASIC 客戶認證，除台系外新增美、日、以色列客戶，應用於 AI 加速器、AI 交換器。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sz w:val="21"/>
          <w:szCs w:val="21"/>
        </w:rPr>
        <w:t xml:space="preserve">矽光子／CPO：EIC（電子晶片）測試已量產，PIC（光子晶片）於工程驗證階段，公司看好毛利率較高。湖口二廠新增產能主要服務矽光子相關產品，已被國外大客戶預訂。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sz w:val="21"/>
          <w:szCs w:val="21"/>
        </w:rPr>
        <w:t xml:space="preserve">產能：湖口二廠（收購現成廠房）2026 年 7 月起量產；竹東中興三廠約 5,000 坪無塵室，預計 26Q4 完工、27Q1 量產，鎖定 AI、ASIC、AI Connectivity。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sz w:val="21"/>
          <w:szCs w:val="21"/>
        </w:rPr>
        <w:t xml:space="preserve">資本支出：2026 年由 59 億上修至 88 億（+49%）；H1 合併 capex 已達 60.9 億，其中 Q2 單季 45.7 億。</w:t>
      </w:r>
    </w:p>
    <w:p>
      <w:pPr>
        <w:pStyle w:val="Heading1"/>
        <w:pBdr>
          <w:bottom w:val="single" w:color="1F3A5F" w:sz="8" w:space="4"/>
        </w:pBdr>
        <w:spacing w:after="140" w:before="280"/>
      </w:pPr>
      <w:r>
        <w:rPr>
          <w:rFonts w:ascii="Microsoft JhengHei" w:eastAsia="Microsoft JhengHei" w:hAnsi="Microsoft JhengHei"/>
          <w:b/>
          <w:bCs/>
          <w:color w:val="1F3A5F"/>
          <w:sz w:val="30"/>
          <w:szCs w:val="30"/>
        </w:rPr>
        <w:t xml:space="preserve">三、財務表現</w:t>
      </w:r>
    </w:p>
    <w:p>
      <w:pPr>
        <w:pStyle w:val="Heading2"/>
        <w:spacing w:after="100" w:before="200"/>
      </w:pPr>
      <w:r>
        <w:rPr>
          <w:rFonts w:ascii="Microsoft JhengHei" w:eastAsia="Microsoft JhengHei" w:hAnsi="Microsoft JhengHei"/>
          <w:b/>
          <w:bCs/>
          <w:color w:val="B42318"/>
          <w:sz w:val="24"/>
          <w:szCs w:val="24"/>
        </w:rPr>
        <w:t xml:space="preserve">近五季損益（單位：百萬元）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1257"/>
        <w:gridCol w:w="1152"/>
        <w:gridCol w:w="1152"/>
        <w:gridCol w:w="1047"/>
        <w:gridCol w:w="1361"/>
        <w:gridCol w:w="1361"/>
        <w:gridCol w:w="1051"/>
      </w:tblGrid>
      <w:tr>
        <w:trPr>
          <w:tblHeader/>
        </w:trPr>
        <w:tc>
          <w:tcPr>
            <w:tcW w:type="dxa" w:w="1257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季度</w:t>
            </w:r>
          </w:p>
        </w:tc>
        <w:tc>
          <w:tcPr>
            <w:tcW w:type="dxa" w:w="1257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營收</w:t>
            </w:r>
          </w:p>
        </w:tc>
        <w:tc>
          <w:tcPr>
            <w:tcW w:type="dxa" w:w="1152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毛利率</w:t>
            </w:r>
          </w:p>
        </w:tc>
        <w:tc>
          <w:tcPr>
            <w:tcW w:type="dxa" w:w="1152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營益率</w:t>
            </w:r>
          </w:p>
        </w:tc>
        <w:tc>
          <w:tcPr>
            <w:tcW w:type="dxa" w:w="1047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業外</w:t>
            </w:r>
          </w:p>
        </w:tc>
        <w:tc>
          <w:tcPr>
            <w:tcW w:type="dxa" w:w="1361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合併淨利</w:t>
            </w:r>
          </w:p>
        </w:tc>
        <w:tc>
          <w:tcPr>
            <w:tcW w:type="dxa" w:w="1361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歸母淨利</w:t>
            </w:r>
          </w:p>
        </w:tc>
        <w:tc>
          <w:tcPr>
            <w:tcW w:type="dxa" w:w="1051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EPS</w:t>
            </w:r>
          </w:p>
        </w:tc>
      </w:tr>
      <w:tr>
        <w:tc>
          <w:tcPr>
            <w:tcW w:type="dxa" w:w="1257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25Q2</w:t>
            </w:r>
          </w:p>
        </w:tc>
        <w:tc>
          <w:tcPr>
            <w:tcW w:type="dxa" w:w="1257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4,779</w:t>
            </w:r>
          </w:p>
        </w:tc>
        <w:tc>
          <w:tcPr>
            <w:tcW w:type="dxa" w:w="1152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31.4%</w:t>
            </w:r>
          </w:p>
        </w:tc>
        <w:tc>
          <w:tcPr>
            <w:tcW w:type="dxa" w:w="1152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23.4%</w:t>
            </w:r>
          </w:p>
        </w:tc>
        <w:tc>
          <w:tcPr>
            <w:tcW w:type="dxa" w:w="1047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−690</w:t>
            </w:r>
          </w:p>
        </w:tc>
        <w:tc>
          <w:tcPr>
            <w:tcW w:type="dxa" w:w="136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136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105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0.70</w:t>
            </w:r>
          </w:p>
        </w:tc>
      </w:tr>
      <w:tr>
        <w:tc>
          <w:tcPr>
            <w:tcW w:type="dxa" w:w="1257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25Q3</w:t>
            </w:r>
          </w:p>
        </w:tc>
        <w:tc>
          <w:tcPr>
            <w:tcW w:type="dxa" w:w="1257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4,854</w:t>
            </w:r>
          </w:p>
        </w:tc>
        <w:tc>
          <w:tcPr>
            <w:tcW w:type="dxa" w:w="1152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27.2%</w:t>
            </w:r>
          </w:p>
        </w:tc>
        <w:tc>
          <w:tcPr>
            <w:tcW w:type="dxa" w:w="1152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17.8%</w:t>
            </w:r>
          </w:p>
        </w:tc>
        <w:tc>
          <w:tcPr>
            <w:tcW w:type="dxa" w:w="1047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+252</w:t>
            </w:r>
          </w:p>
        </w:tc>
        <w:tc>
          <w:tcPr>
            <w:tcW w:type="dxa" w:w="1361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1361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804</w:t>
            </w:r>
          </w:p>
        </w:tc>
        <w:tc>
          <w:tcPr>
            <w:tcW w:type="dxa" w:w="1051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1.68</w:t>
            </w:r>
          </w:p>
        </w:tc>
      </w:tr>
      <w:tr>
        <w:tc>
          <w:tcPr>
            <w:tcW w:type="dxa" w:w="1257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25Q4</w:t>
            </w:r>
          </w:p>
        </w:tc>
        <w:tc>
          <w:tcPr>
            <w:tcW w:type="dxa" w:w="1257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5,270</w:t>
            </w:r>
          </w:p>
        </w:tc>
        <w:tc>
          <w:tcPr>
            <w:tcW w:type="dxa" w:w="1152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29.7%</w:t>
            </w:r>
          </w:p>
        </w:tc>
        <w:tc>
          <w:tcPr>
            <w:tcW w:type="dxa" w:w="1152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20.2%</w:t>
            </w:r>
          </w:p>
        </w:tc>
        <w:tc>
          <w:tcPr>
            <w:tcW w:type="dxa" w:w="1047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+202</w:t>
            </w:r>
          </w:p>
        </w:tc>
        <w:tc>
          <w:tcPr>
            <w:tcW w:type="dxa" w:w="136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1,174</w:t>
            </w:r>
          </w:p>
        </w:tc>
        <w:tc>
          <w:tcPr>
            <w:tcW w:type="dxa" w:w="136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1,058</w:t>
            </w:r>
          </w:p>
        </w:tc>
        <w:tc>
          <w:tcPr>
            <w:tcW w:type="dxa" w:w="105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2.20</w:t>
            </w:r>
          </w:p>
        </w:tc>
      </w:tr>
      <w:tr>
        <w:tc>
          <w:tcPr>
            <w:tcW w:type="dxa" w:w="1257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26Q1</w:t>
            </w:r>
          </w:p>
        </w:tc>
        <w:tc>
          <w:tcPr>
            <w:tcW w:type="dxa" w:w="1257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5,294</w:t>
            </w:r>
          </w:p>
        </w:tc>
        <w:tc>
          <w:tcPr>
            <w:tcW w:type="dxa" w:w="1152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31.7%</w:t>
            </w:r>
          </w:p>
        </w:tc>
        <w:tc>
          <w:tcPr>
            <w:tcW w:type="dxa" w:w="1152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22.4%</w:t>
            </w:r>
          </w:p>
        </w:tc>
        <w:tc>
          <w:tcPr>
            <w:tcW w:type="dxa" w:w="1047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+196</w:t>
            </w:r>
          </w:p>
        </w:tc>
        <w:tc>
          <w:tcPr>
            <w:tcW w:type="dxa" w:w="1361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1,122</w:t>
            </w:r>
          </w:p>
        </w:tc>
        <w:tc>
          <w:tcPr>
            <w:tcW w:type="dxa" w:w="1361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1,006</w:t>
            </w:r>
          </w:p>
        </w:tc>
        <w:tc>
          <w:tcPr>
            <w:tcW w:type="dxa" w:w="1051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2.10</w:t>
            </w:r>
          </w:p>
        </w:tc>
      </w:tr>
      <w:tr>
        <w:tc>
          <w:tcPr>
            <w:tcW w:type="dxa" w:w="1257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26Q2</w:t>
            </w:r>
          </w:p>
        </w:tc>
        <w:tc>
          <w:tcPr>
            <w:tcW w:type="dxa" w:w="1257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5,881</w:t>
            </w:r>
          </w:p>
        </w:tc>
        <w:tc>
          <w:tcPr>
            <w:tcW w:type="dxa" w:w="1152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34.2%</w:t>
            </w:r>
          </w:p>
        </w:tc>
        <w:tc>
          <w:tcPr>
            <w:tcW w:type="dxa" w:w="1152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25.6%</w:t>
            </w:r>
          </w:p>
        </w:tc>
        <w:tc>
          <w:tcPr>
            <w:tcW w:type="dxa" w:w="1047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+68</w:t>
            </w:r>
          </w:p>
        </w:tc>
        <w:tc>
          <w:tcPr>
            <w:tcW w:type="dxa" w:w="1361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1,358</w:t>
            </w:r>
          </w:p>
        </w:tc>
        <w:tc>
          <w:tcPr>
            <w:tcW w:type="dxa" w:w="1361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1,220</w:t>
            </w:r>
          </w:p>
        </w:tc>
        <w:tc>
          <w:tcPr>
            <w:tcW w:type="dxa" w:w="1051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2.55</w:t>
            </w:r>
          </w:p>
        </w:tc>
      </w:tr>
    </w:tbl>
    <w:p>
      <w:pPr>
        <w:spacing w:after="120" w:line="300"/>
      </w:pPr>
      <w:r>
        <w:rPr>
          <w:rFonts w:ascii="Microsoft JhengHei" w:eastAsia="Microsoft JhengHei" w:hAnsi="Microsoft JhengHei"/>
          <w:i/>
          <w:iCs/>
          <w:color w:val="5B6573"/>
          <w:sz w:val="17"/>
          <w:szCs w:val="17"/>
        </w:rPr>
        <w:t xml:space="preserve">25Q2 業外 −6.9 億主要為新台幣急升造成的美元部位匯損（媒體報導約 7 億），為一次性扭曲；2025 全年 EPS 6.14 元。</w:t>
      </w:r>
    </w:p>
    <w:p>
      <w:pPr>
        <w:pStyle w:val="Heading2"/>
        <w:spacing w:after="100" w:before="200"/>
      </w:pPr>
      <w:r>
        <w:rPr>
          <w:rFonts w:ascii="Microsoft JhengHei" w:eastAsia="Microsoft JhengHei" w:hAnsi="Microsoft JhengHei"/>
          <w:b/>
          <w:bCs/>
          <w:color w:val="B42318"/>
          <w:sz w:val="24"/>
          <w:szCs w:val="24"/>
        </w:rPr>
        <w:t xml:space="preserve">月營收動能（單位：百萬元）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5"/>
        <w:gridCol w:w="1568"/>
        <w:gridCol w:w="1120"/>
        <w:gridCol w:w="1120"/>
        <w:gridCol w:w="3365"/>
      </w:tblGrid>
      <w:tr>
        <w:trPr>
          <w:tblHeader/>
        </w:trPr>
        <w:tc>
          <w:tcPr>
            <w:tcW w:type="dxa" w:w="2465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1568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營收</w:t>
            </w:r>
          </w:p>
        </w:tc>
        <w:tc>
          <w:tcPr>
            <w:tcW w:type="dxa" w:w="112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MoM</w:t>
            </w:r>
          </w:p>
        </w:tc>
        <w:tc>
          <w:tcPr>
            <w:tcW w:type="dxa" w:w="112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YoY</w:t>
            </w:r>
          </w:p>
        </w:tc>
        <w:tc>
          <w:tcPr>
            <w:tcW w:type="dxa" w:w="3365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246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 H1 合計</w:t>
            </w:r>
          </w:p>
        </w:tc>
        <w:tc>
          <w:tcPr>
            <w:tcW w:type="dxa" w:w="1568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11,174</w:t>
            </w:r>
          </w:p>
        </w:tc>
        <w:tc>
          <w:tcPr>
            <w:tcW w:type="dxa" w:w="112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2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+18.1%</w:t>
            </w:r>
          </w:p>
        </w:tc>
        <w:tc>
          <w:tcPr>
            <w:tcW w:type="dxa" w:w="336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Q1 5,294／Q2 5,881</w:t>
            </w:r>
          </w:p>
        </w:tc>
      </w:tr>
      <w:tr>
        <w:tc>
          <w:tcPr>
            <w:tcW w:type="dxa" w:w="2465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2026/07</w:t>
            </w:r>
          </w:p>
        </w:tc>
        <w:tc>
          <w:tcPr>
            <w:tcW w:type="dxa" w:w="1568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2,014</w:t>
            </w:r>
          </w:p>
        </w:tc>
        <w:tc>
          <w:tcPr>
            <w:tcW w:type="dxa" w:w="1120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+2.8%</w:t>
            </w:r>
          </w:p>
        </w:tc>
        <w:tc>
          <w:tcPr>
            <w:tcW w:type="dxa" w:w="1120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+26.6%</w:t>
            </w:r>
          </w:p>
        </w:tc>
        <w:tc>
          <w:tcPr>
            <w:tcW w:type="dxa" w:w="3365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單月首破 20 億</w:t>
            </w:r>
          </w:p>
        </w:tc>
      </w:tr>
      <w:tr>
        <w:tc>
          <w:tcPr>
            <w:tcW w:type="dxa" w:w="246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2026/08</w:t>
            </w:r>
          </w:p>
        </w:tc>
        <w:tc>
          <w:tcPr>
            <w:tcW w:type="dxa" w:w="1568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2,069</w:t>
            </w:r>
          </w:p>
        </w:tc>
        <w:tc>
          <w:tcPr>
            <w:tcW w:type="dxa" w:w="112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+2.7%</w:t>
            </w:r>
          </w:p>
        </w:tc>
        <w:tc>
          <w:tcPr>
            <w:tcW w:type="dxa" w:w="112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+28.6%</w:t>
            </w:r>
          </w:p>
        </w:tc>
        <w:tc>
          <w:tcPr>
            <w:tcW w:type="dxa" w:w="336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再創新高</w:t>
            </w:r>
          </w:p>
        </w:tc>
      </w:tr>
      <w:tr>
        <w:tc>
          <w:tcPr>
            <w:tcW w:type="dxa" w:w="2465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 1–8 月累計</w:t>
            </w:r>
          </w:p>
        </w:tc>
        <w:tc>
          <w:tcPr>
            <w:tcW w:type="dxa" w:w="1568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15,258</w:t>
            </w:r>
          </w:p>
        </w:tc>
        <w:tc>
          <w:tcPr>
            <w:tcW w:type="dxa" w:w="1120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20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+20.5%</w:t>
            </w:r>
          </w:p>
        </w:tc>
        <w:tc>
          <w:tcPr>
            <w:tcW w:type="dxa" w:w="3365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模型 E 值</w:t>
            </w:r>
          </w:p>
        </w:tc>
      </w:tr>
    </w:tbl>
    <w:p>
      <w:pPr>
        <w:spacing w:after="120" w:line="300"/>
      </w:pPr>
      <w:r>
        <w:rPr>
          <w:rFonts w:ascii="Microsoft JhengHei" w:eastAsia="Microsoft JhengHei" w:hAnsi="Microsoft JhengHei"/>
          <w:i/>
          <w:iCs/>
          <w:color w:val="5B6573"/>
          <w:sz w:val="17"/>
          <w:szCs w:val="17"/>
        </w:rPr>
        <w:t xml:space="preserve">7–8 月月均 2,042 百萬，較 1–8 月累計月均 1,907 百萬高 7.1%（未達情境 B 的 10% 觸發門檻）。Q3 已知兩個月合計 4,084 百萬，9 月營收將於 10/10 前公告。</w:t>
      </w:r>
    </w:p>
    <w:p>
      <w:pPr>
        <w:pStyle w:val="Heading2"/>
        <w:spacing w:after="100" w:before="200"/>
      </w:pPr>
      <w:r>
        <w:rPr>
          <w:rFonts w:ascii="Microsoft JhengHei" w:eastAsia="Microsoft JhengHei" w:hAnsi="Microsoft JhengHei"/>
          <w:b/>
          <w:bCs/>
          <w:color w:val="B42318"/>
          <w:sz w:val="24"/>
          <w:szCs w:val="24"/>
        </w:rPr>
        <w:t xml:space="preserve">資產負債與現金流（26Q2）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sz w:val="21"/>
          <w:szCs w:val="21"/>
        </w:rPr>
        <w:t xml:space="preserve">現金 120.8 億、總借款 144.0 億 → 淨負債 23.2 億（25Q4 為 9.4 億，26Q1 為淨現金）；擴產開始用到槓桿。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sz w:val="21"/>
          <w:szCs w:val="21"/>
        </w:rPr>
        <w:t xml:space="preserve">H1 營業現金流 40.2 億、capex 60.9 億 → 自由現金流 −20.7 億；Q2 折舊攤提 10.8 億，季增 7%，新廠投產後折舊將持續墊高。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sz w:val="21"/>
          <w:szCs w:val="21"/>
        </w:rPr>
        <w:t xml:space="preserve">歸母權益 252.4 億；2025 年度股利 4.2 元（盈餘 2.7＋資本公積 1.5），以現價計殖利率約 1.6%。</w:t>
      </w:r>
    </w:p>
    <w:p>
      <w:pPr>
        <w:pStyle w:val="Heading1"/>
        <w:pBdr>
          <w:bottom w:val="single" w:color="1F3A5F" w:sz="8" w:space="4"/>
        </w:pBdr>
        <w:spacing w:after="140" w:before="280"/>
      </w:pPr>
      <w:r>
        <w:rPr>
          <w:rFonts w:ascii="Microsoft JhengHei" w:eastAsia="Microsoft JhengHei" w:hAnsi="Microsoft JhengHei"/>
          <w:b/>
          <w:bCs/>
          <w:color w:val="1F3A5F"/>
          <w:sz w:val="30"/>
          <w:szCs w:val="30"/>
        </w:rPr>
        <w:t xml:space="preserve">四、Kevin 股價模型估值（雙層錨定法，2026-10 版）</w:t>
      </w:r>
    </w:p>
    <w:p>
      <w:pPr>
        <w:spacing w:after="100" w:line="300"/>
      </w:pPr>
      <w:r>
        <w:rPr>
          <w:rFonts w:ascii="Microsoft JhengHei" w:eastAsia="Microsoft JhengHei" w:hAnsi="Microsoft JhengHei"/>
          <w:sz w:val="21"/>
          <w:szCs w:val="21"/>
        </w:rPr>
        <w:t xml:space="preserve">類別假設為「投資組合」（0050 錨定）；因矽格具矽光子題材，另並列「CPO」（00891 錨定）作為敏感度參考。若你在 workbook 中的分類不同，請告知以改用對應錨定。</w:t>
      </w:r>
    </w:p>
    <w:p>
      <w:pPr>
        <w:pStyle w:val="Heading2"/>
        <w:spacing w:after="100" w:before="200"/>
      </w:pPr>
      <w:r>
        <w:rPr>
          <w:rFonts w:ascii="Microsoft JhengHei" w:eastAsia="Microsoft JhengHei" w:hAnsi="Microsoft JhengHei"/>
          <w:b/>
          <w:bCs/>
          <w:color w:val="B42318"/>
          <w:sz w:val="24"/>
          <w:szCs w:val="24"/>
        </w:rPr>
        <w:t xml:space="preserve">核心輸入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8"/>
        <w:gridCol w:w="2834"/>
        <w:gridCol w:w="4726"/>
      </w:tblGrid>
      <w:tr>
        <w:trPr>
          <w:tblHeader/>
        </w:trPr>
        <w:tc>
          <w:tcPr>
            <w:tcW w:type="dxa" w:w="2078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變數</w:t>
            </w:r>
          </w:p>
        </w:tc>
        <w:tc>
          <w:tcPr>
            <w:tcW w:type="dxa" w:w="2834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數值</w:t>
            </w:r>
          </w:p>
        </w:tc>
        <w:tc>
          <w:tcPr>
            <w:tcW w:type="dxa" w:w="4726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來源／期別</w:t>
            </w:r>
          </w:p>
        </w:tc>
      </w:tr>
      <w:tr>
        <w:tc>
          <w:tcPr>
            <w:tcW w:type="dxa" w:w="2078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 累計營收</w:t>
            </w:r>
          </w:p>
        </w:tc>
        <w:tc>
          <w:tcPr>
            <w:tcW w:type="dxa" w:w="283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15,258,000 千元</w:t>
            </w:r>
          </w:p>
        </w:tc>
        <w:tc>
          <w:tcPr>
            <w:tcW w:type="dxa" w:w="4726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2026/1–8 月，公司自結（百萬元精度）</w:t>
            </w:r>
          </w:p>
        </w:tc>
      </w:tr>
      <w:tr>
        <w:tc>
          <w:tcPr>
            <w:tcW w:type="dxa" w:w="2078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 累計月數</w:t>
            </w:r>
          </w:p>
        </w:tc>
        <w:tc>
          <w:tcPr>
            <w:tcW w:type="dxa" w:w="2834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726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78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G 毛利率</w:t>
            </w:r>
          </w:p>
        </w:tc>
        <w:tc>
          <w:tcPr>
            <w:tcW w:type="dxa" w:w="283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33.02%</w:t>
            </w:r>
          </w:p>
        </w:tc>
        <w:tc>
          <w:tcPr>
            <w:tcW w:type="dxa" w:w="4726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2026H1 合併財報：毛利 3,689,372 ÷ 營收 11,174,473</w:t>
            </w:r>
          </w:p>
        </w:tc>
      </w:tr>
      <w:tr>
        <w:tc>
          <w:tcPr>
            <w:tcW w:type="dxa" w:w="2078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H 合併淨利率</w:t>
            </w:r>
          </w:p>
        </w:tc>
        <w:tc>
          <w:tcPr>
            <w:tcW w:type="dxa" w:w="2834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22.19%</w:t>
            </w:r>
          </w:p>
        </w:tc>
        <w:tc>
          <w:tcPr>
            <w:tcW w:type="dxa" w:w="4726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2026H1：本期淨利 2,480,027 ÷ 營收 11,174,473</w:t>
            </w:r>
          </w:p>
        </w:tc>
      </w:tr>
      <w:tr>
        <w:tc>
          <w:tcPr>
            <w:tcW w:type="dxa" w:w="2078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W 業主淨利占比</w:t>
            </w:r>
          </w:p>
        </w:tc>
        <w:tc>
          <w:tcPr>
            <w:tcW w:type="dxa" w:w="283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0.8975</w:t>
            </w:r>
          </w:p>
        </w:tc>
        <w:tc>
          <w:tcPr>
            <w:tcW w:type="dxa" w:w="4726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歸母 2,225,873 ÷ 合併 2,480,027</w:t>
            </w:r>
          </w:p>
        </w:tc>
      </w:tr>
      <w:tr>
        <w:tc>
          <w:tcPr>
            <w:tcW w:type="dxa" w:w="2078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業外占稅前</w:t>
            </w:r>
          </w:p>
        </w:tc>
        <w:tc>
          <w:tcPr>
            <w:tcW w:type="dxa" w:w="2834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8.9%（Q1 14.2%、Q2 4.3%）</w:t>
            </w:r>
          </w:p>
        </w:tc>
        <w:tc>
          <w:tcPr>
            <w:tcW w:type="dxa" w:w="4726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（稅前 2,955,507 − 營業利益 2,692,105）÷ 稅前</w:t>
            </w:r>
          </w:p>
        </w:tc>
      </w:tr>
      <w:tr>
        <w:tc>
          <w:tcPr>
            <w:tcW w:type="dxa" w:w="2078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I 股本</w:t>
            </w:r>
          </w:p>
        </w:tc>
        <w:tc>
          <w:tcPr>
            <w:tcW w:type="dxa" w:w="283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48.39 億</w:t>
            </w:r>
          </w:p>
        </w:tc>
        <w:tc>
          <w:tcPr>
            <w:tcW w:type="dxa" w:w="4726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實收資本額 4,839,123 千元（26Q2 資產負債表）</w:t>
            </w:r>
          </w:p>
        </w:tc>
      </w:tr>
      <w:tr>
        <w:tc>
          <w:tcPr>
            <w:tcW w:type="dxa" w:w="2078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J 基期 EPS（帳面）</w:t>
            </w:r>
          </w:p>
        </w:tc>
        <w:tc>
          <w:tcPr>
            <w:tcW w:type="dxa" w:w="2834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6.14 元</w:t>
            </w:r>
          </w:p>
        </w:tc>
        <w:tc>
          <w:tcPr>
            <w:tcW w:type="dxa" w:w="4726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2025 年報</w:t>
            </w:r>
          </w:p>
        </w:tc>
      </w:tr>
      <w:tr>
        <w:tc>
          <w:tcPr>
            <w:tcW w:type="dxa" w:w="2078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J 基期 EPS（調整）</w:t>
            </w:r>
          </w:p>
        </w:tc>
        <w:tc>
          <w:tcPr>
            <w:tcW w:type="dxa" w:w="283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7.06 元</w:t>
            </w:r>
          </w:p>
        </w:tc>
        <w:tc>
          <w:tcPr>
            <w:tcW w:type="dxa" w:w="4726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25Q2 以營業利益 × 25Q1 稅率 19.7% × W 還原，扣除匯損</w:t>
            </w:r>
          </w:p>
        </w:tc>
      </w:tr>
      <w:tr>
        <w:tc>
          <w:tcPr>
            <w:tcW w:type="dxa" w:w="2078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 目前股價</w:t>
            </w:r>
          </w:p>
        </w:tc>
        <w:tc>
          <w:tcPr>
            <w:tcW w:type="dxa" w:w="2834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256.5 元</w:t>
            </w:r>
          </w:p>
        </w:tc>
        <w:tc>
          <w:tcPr>
            <w:tcW w:type="dxa" w:w="4726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2026/10/01 收盤</w:t>
            </w:r>
          </w:p>
        </w:tc>
      </w:tr>
      <w:tr>
        <w:tc>
          <w:tcPr>
            <w:tcW w:type="dxa" w:w="2078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錨定值</w:t>
            </w:r>
          </w:p>
        </w:tc>
        <w:tc>
          <w:tcPr>
            <w:tcW w:type="dxa" w:w="283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投資組合 14.025／10.285；CPO 20.23／14.756</w:t>
            </w:r>
          </w:p>
        </w:tc>
        <w:tc>
          <w:tcPr>
            <w:tcW w:type="dxa" w:w="4726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workbook 2026-09-11 版（距今 20 天）；大盤 PE 31.26／中位 17 → M_adj 0.85</w:t>
            </w:r>
          </w:p>
        </w:tc>
      </w:tr>
    </w:tbl>
    <w:p>
      <w:pPr>
        <w:pStyle w:val="Heading2"/>
        <w:spacing w:after="100" w:before="200"/>
      </w:pPr>
      <w:r>
        <w:rPr>
          <w:rFonts w:ascii="Microsoft JhengHei" w:eastAsia="Microsoft JhengHei" w:hAnsi="Microsoft JhengHei"/>
          <w:b/>
          <w:bCs/>
          <w:color w:val="B42318"/>
          <w:sz w:val="24"/>
          <w:szCs w:val="24"/>
        </w:rPr>
        <w:t xml:space="preserve">計算結果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1853"/>
        <w:gridCol w:w="1853"/>
        <w:gridCol w:w="1853"/>
        <w:gridCol w:w="1855"/>
      </w:tblGrid>
      <w:tr>
        <w:trPr>
          <w:tblHeader/>
        </w:trPr>
        <w:tc>
          <w:tcPr>
            <w:tcW w:type="dxa" w:w="2224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853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投資組合｜J 帳面</w:t>
            </w:r>
          </w:p>
        </w:tc>
        <w:tc>
          <w:tcPr>
            <w:tcW w:type="dxa" w:w="1853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投資組合｜J 調整</w:t>
            </w:r>
          </w:p>
        </w:tc>
        <w:tc>
          <w:tcPr>
            <w:tcW w:type="dxa" w:w="1853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CPO｜J 帳面</w:t>
            </w:r>
          </w:p>
        </w:tc>
        <w:tc>
          <w:tcPr>
            <w:tcW w:type="dxa" w:w="1855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CPO｜J 調整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 預期 EPS</w:t>
            </w:r>
          </w:p>
        </w:tc>
        <w:tc>
          <w:tcPr>
            <w:tcW w:type="dxa" w:w="185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9.42</w:t>
            </w:r>
          </w:p>
        </w:tc>
        <w:tc>
          <w:tcPr>
            <w:tcW w:type="dxa" w:w="185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9.42</w:t>
            </w:r>
          </w:p>
        </w:tc>
        <w:tc>
          <w:tcPr>
            <w:tcW w:type="dxa" w:w="185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9.42</w:t>
            </w:r>
          </w:p>
        </w:tc>
        <w:tc>
          <w:tcPr>
            <w:tcW w:type="dxa" w:w="185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9.42</w:t>
            </w:r>
          </w:p>
        </w:tc>
      </w:tr>
      <w:tr>
        <w:tc>
          <w:tcPr>
            <w:tcW w:type="dxa" w:w="2224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O EPS 成長率</w:t>
            </w:r>
          </w:p>
        </w:tc>
        <w:tc>
          <w:tcPr>
            <w:tcW w:type="dxa" w:w="1853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53.4%</w:t>
            </w:r>
          </w:p>
        </w:tc>
        <w:tc>
          <w:tcPr>
            <w:tcW w:type="dxa" w:w="1853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33.4%</w:t>
            </w:r>
          </w:p>
        </w:tc>
        <w:tc>
          <w:tcPr>
            <w:tcW w:type="dxa" w:w="1853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53.4%</w:t>
            </w:r>
          </w:p>
        </w:tc>
        <w:tc>
          <w:tcPr>
            <w:tcW w:type="dxa" w:w="1855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33.4%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W w:type="dxa" w:w="185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21.34</w:t>
            </w:r>
          </w:p>
        </w:tc>
        <w:tc>
          <w:tcPr>
            <w:tcW w:type="dxa" w:w="185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19.81</w:t>
            </w:r>
          </w:p>
        </w:tc>
        <w:tc>
          <w:tcPr>
            <w:tcW w:type="dxa" w:w="185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27.54</w:t>
            </w:r>
          </w:p>
        </w:tc>
        <w:tc>
          <w:tcPr>
            <w:tcW w:type="dxa" w:w="185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26.01</w:t>
            </w:r>
          </w:p>
        </w:tc>
      </w:tr>
      <w:tr>
        <w:tc>
          <w:tcPr>
            <w:tcW w:type="dxa" w:w="2224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Q</w:t>
            </w:r>
          </w:p>
        </w:tc>
        <w:tc>
          <w:tcPr>
            <w:tcW w:type="dxa" w:w="1853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24.47</w:t>
            </w:r>
          </w:p>
        </w:tc>
        <w:tc>
          <w:tcPr>
            <w:tcW w:type="dxa" w:w="1853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20.66</w:t>
            </w:r>
          </w:p>
        </w:tc>
        <w:tc>
          <w:tcPr>
            <w:tcW w:type="dxa" w:w="1853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28.94</w:t>
            </w:r>
          </w:p>
        </w:tc>
        <w:tc>
          <w:tcPr>
            <w:tcW w:type="dxa" w:w="1855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25.13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R 股價 A（N×P）</w:t>
            </w:r>
          </w:p>
        </w:tc>
        <w:tc>
          <w:tcPr>
            <w:tcW w:type="dxa" w:w="185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201.0</w:t>
            </w:r>
          </w:p>
        </w:tc>
        <w:tc>
          <w:tcPr>
            <w:tcW w:type="dxa" w:w="185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186.6</w:t>
            </w:r>
          </w:p>
        </w:tc>
        <w:tc>
          <w:tcPr>
            <w:tcW w:type="dxa" w:w="185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259.5</w:t>
            </w:r>
          </w:p>
        </w:tc>
        <w:tc>
          <w:tcPr>
            <w:tcW w:type="dxa" w:w="185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245.0</w:t>
            </w:r>
          </w:p>
        </w:tc>
      </w:tr>
      <w:tr>
        <w:tc>
          <w:tcPr>
            <w:tcW w:type="dxa" w:w="2224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 股價 B（N×Q）</w:t>
            </w:r>
          </w:p>
        </w:tc>
        <w:tc>
          <w:tcPr>
            <w:tcW w:type="dxa" w:w="1853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230.5</w:t>
            </w:r>
          </w:p>
        </w:tc>
        <w:tc>
          <w:tcPr>
            <w:tcW w:type="dxa" w:w="1853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194.6</w:t>
            </w:r>
          </w:p>
        </w:tc>
        <w:tc>
          <w:tcPr>
            <w:tcW w:type="dxa" w:w="1853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272.7</w:t>
            </w:r>
          </w:p>
        </w:tc>
        <w:tc>
          <w:tcPr>
            <w:tcW w:type="dxa" w:w="1855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236.7</w:t>
            </w:r>
          </w:p>
        </w:tc>
      </w:tr>
      <w:tr>
        <w:tc>
          <w:tcPr>
            <w:tcW w:type="dxa" w:w="2224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T 模型目標價</w:t>
            </w:r>
          </w:p>
        </w:tc>
        <w:tc>
          <w:tcPr>
            <w:tcW w:type="dxa" w:w="1853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215.8</w:t>
            </w:r>
          </w:p>
        </w:tc>
        <w:tc>
          <w:tcPr>
            <w:tcW w:type="dxa" w:w="1853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190.6</w:t>
            </w:r>
          </w:p>
        </w:tc>
        <w:tc>
          <w:tcPr>
            <w:tcW w:type="dxa" w:w="1853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266.1</w:t>
            </w:r>
          </w:p>
        </w:tc>
        <w:tc>
          <w:tcPr>
            <w:tcW w:type="dxa" w:w="1855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240.9</w:t>
            </w:r>
          </w:p>
        </w:tc>
      </w:tr>
      <w:tr>
        <w:tc>
          <w:tcPr>
            <w:tcW w:type="dxa" w:w="2224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V 漲幅空間</w:t>
            </w:r>
          </w:p>
        </w:tc>
        <w:tc>
          <w:tcPr>
            <w:tcW w:type="dxa" w:w="1853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−15.9%</w:t>
            </w:r>
          </w:p>
        </w:tc>
        <w:tc>
          <w:tcPr>
            <w:tcW w:type="dxa" w:w="1853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−25.7%</w:t>
            </w:r>
          </w:p>
        </w:tc>
        <w:tc>
          <w:tcPr>
            <w:tcW w:type="dxa" w:w="1853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+3.7%</w:t>
            </w:r>
          </w:p>
        </w:tc>
        <w:tc>
          <w:tcPr>
            <w:tcW w:type="dxa" w:w="1855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−6.1%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目前本益比 M/N</w:t>
            </w:r>
          </w:p>
        </w:tc>
        <w:tc>
          <w:tcPr>
            <w:tcW w:type="dxa" w:w="185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27.2x</w:t>
            </w:r>
          </w:p>
        </w:tc>
        <w:tc>
          <w:tcPr>
            <w:tcW w:type="dxa" w:w="185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27.2x</w:t>
            </w:r>
          </w:p>
        </w:tc>
        <w:tc>
          <w:tcPr>
            <w:tcW w:type="dxa" w:w="185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27.2x</w:t>
            </w:r>
          </w:p>
        </w:tc>
        <w:tc>
          <w:tcPr>
            <w:tcW w:type="dxa" w:w="185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27.2x</w:t>
            </w:r>
          </w:p>
        </w:tc>
      </w:tr>
    </w:tbl>
    <w:p>
      <w:pPr>
        <w:spacing w:after="120" w:line="300"/>
      </w:pPr>
      <w:r>
        <w:rPr>
          <w:rFonts w:ascii="Microsoft JhengHei" w:eastAsia="Microsoft JhengHei" w:hAnsi="Microsoft JhengHei"/>
          <w:i/>
          <w:iCs/>
          <w:color w:val="5B6573"/>
          <w:sz w:val="17"/>
          <w:szCs w:val="17"/>
        </w:rPr>
        <w:t xml:space="preserve">N 以實收資本額 48.39 億計；若以扣除庫藏股後流通股數（約 4.785 億股）計，N 約 9.53，影響約 +1%。</w:t>
      </w:r>
    </w:p>
    <w:p>
      <w:pPr>
        <w:pStyle w:val="Heading2"/>
        <w:spacing w:after="100" w:before="200"/>
      </w:pPr>
      <w:r>
        <w:rPr>
          <w:rFonts w:ascii="Microsoft JhengHei" w:eastAsia="Microsoft JhengHei" w:hAnsi="Microsoft JhengHei"/>
          <w:b/>
          <w:bCs/>
          <w:color w:val="B42318"/>
          <w:sz w:val="24"/>
          <w:szCs w:val="24"/>
        </w:rPr>
        <w:t xml:space="preserve">情境 B（近月動能，未達觸發門檻，僅供參考）</w:t>
      </w:r>
    </w:p>
    <w:p>
      <w:pPr>
        <w:spacing w:after="100" w:line="300"/>
      </w:pPr>
      <w:r>
        <w:rPr>
          <w:rFonts w:ascii="Microsoft JhengHei" w:eastAsia="Microsoft JhengHei" w:hAnsi="Microsoft JhengHei"/>
          <w:sz w:val="21"/>
          <w:szCs w:val="21"/>
        </w:rPr>
        <w:t xml:space="preserve">年化營收 B = 1–8 月 15,258 + 7–8 月月均 2,042 × 4 = 23,425 百萬（較線性年化高 2.4%）；H_B 採 26Q2 合併淨利率 23.10%、W 0.8983 → N_B = 10.04。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1853"/>
        <w:gridCol w:w="1853"/>
        <w:gridCol w:w="1853"/>
        <w:gridCol w:w="1855"/>
      </w:tblGrid>
      <w:tr>
        <w:trPr>
          <w:tblHeader/>
        </w:trPr>
        <w:tc>
          <w:tcPr>
            <w:tcW w:type="dxa" w:w="2224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情境 B</w:t>
            </w:r>
          </w:p>
        </w:tc>
        <w:tc>
          <w:tcPr>
            <w:tcW w:type="dxa" w:w="1853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投資組合｜J 帳面</w:t>
            </w:r>
          </w:p>
        </w:tc>
        <w:tc>
          <w:tcPr>
            <w:tcW w:type="dxa" w:w="1853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投資組合｜J 調整</w:t>
            </w:r>
          </w:p>
        </w:tc>
        <w:tc>
          <w:tcPr>
            <w:tcW w:type="dxa" w:w="1853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CPO｜J 帳面</w:t>
            </w:r>
          </w:p>
        </w:tc>
        <w:tc>
          <w:tcPr>
            <w:tcW w:type="dxa" w:w="1855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CPO｜J 調整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 目標價</w:t>
            </w:r>
          </w:p>
        </w:tc>
        <w:tc>
          <w:tcPr>
            <w:tcW w:type="dxa" w:w="185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242.1</w:t>
            </w:r>
          </w:p>
        </w:tc>
        <w:tc>
          <w:tcPr>
            <w:tcW w:type="dxa" w:w="185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215.7</w:t>
            </w:r>
          </w:p>
        </w:tc>
        <w:tc>
          <w:tcPr>
            <w:tcW w:type="dxa" w:w="185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295.8</w:t>
            </w:r>
          </w:p>
        </w:tc>
        <w:tc>
          <w:tcPr>
            <w:tcW w:type="dxa" w:w="185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269.3</w:t>
            </w:r>
          </w:p>
        </w:tc>
      </w:tr>
      <w:tr>
        <w:tc>
          <w:tcPr>
            <w:tcW w:type="dxa" w:w="2224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V 漲幅空間</w:t>
            </w:r>
          </w:p>
        </w:tc>
        <w:tc>
          <w:tcPr>
            <w:tcW w:type="dxa" w:w="1853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−5.6%</w:t>
            </w:r>
          </w:p>
        </w:tc>
        <w:tc>
          <w:tcPr>
            <w:tcW w:type="dxa" w:w="1853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−15.9%</w:t>
            </w:r>
          </w:p>
        </w:tc>
        <w:tc>
          <w:tcPr>
            <w:tcW w:type="dxa" w:w="1853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+15.3%</w:t>
            </w:r>
          </w:p>
        </w:tc>
        <w:tc>
          <w:tcPr>
            <w:tcW w:type="dxa" w:w="1855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+5.0%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JhengHei" w:eastAsia="Microsoft JhengHei" w:hAnsi="Microsoft JhengHei"/>
          <w:b/>
          <w:bCs/>
          <w:color w:val="B42318"/>
          <w:sz w:val="24"/>
          <w:szCs w:val="24"/>
        </w:rPr>
        <w:t xml:space="preserve">H（合併淨利率）敏感度——投資組合錨、J 帳面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6"/>
        <w:gridCol w:w="1204"/>
        <w:gridCol w:w="1204"/>
        <w:gridCol w:w="1566"/>
        <w:gridCol w:w="1566"/>
        <w:gridCol w:w="1204"/>
        <w:gridCol w:w="1208"/>
      </w:tblGrid>
      <w:tr>
        <w:trPr>
          <w:tblHeader/>
        </w:trPr>
        <w:tc>
          <w:tcPr>
            <w:tcW w:type="dxa" w:w="1686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H</w:t>
            </w:r>
          </w:p>
        </w:tc>
        <w:tc>
          <w:tcPr>
            <w:tcW w:type="dxa" w:w="1204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20.0%</w:t>
            </w:r>
          </w:p>
        </w:tc>
        <w:tc>
          <w:tcPr>
            <w:tcW w:type="dxa" w:w="1204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21.0%</w:t>
            </w:r>
          </w:p>
        </w:tc>
        <w:tc>
          <w:tcPr>
            <w:tcW w:type="dxa" w:w="1566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22.2%（H1）</w:t>
            </w:r>
          </w:p>
        </w:tc>
        <w:tc>
          <w:tcPr>
            <w:tcW w:type="dxa" w:w="1566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23.1%（Q2）</w:t>
            </w:r>
          </w:p>
        </w:tc>
        <w:tc>
          <w:tcPr>
            <w:tcW w:type="dxa" w:w="1204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24.0%</w:t>
            </w:r>
          </w:p>
        </w:tc>
        <w:tc>
          <w:tcPr>
            <w:tcW w:type="dxa" w:w="1208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25.0%</w:t>
            </w:r>
          </w:p>
        </w:tc>
      </w:tr>
      <w:tr>
        <w:tc>
          <w:tcPr>
            <w:tcW w:type="dxa" w:w="1686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0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8.49</w:t>
            </w:r>
          </w:p>
        </w:tc>
        <w:tc>
          <w:tcPr>
            <w:tcW w:type="dxa" w:w="120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8.91</w:t>
            </w:r>
          </w:p>
        </w:tc>
        <w:tc>
          <w:tcPr>
            <w:tcW w:type="dxa" w:w="1566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9.42</w:t>
            </w:r>
          </w:p>
        </w:tc>
        <w:tc>
          <w:tcPr>
            <w:tcW w:type="dxa" w:w="1566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9.81</w:t>
            </w:r>
          </w:p>
        </w:tc>
        <w:tc>
          <w:tcPr>
            <w:tcW w:type="dxa" w:w="120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10.19</w:t>
            </w:r>
          </w:p>
        </w:tc>
        <w:tc>
          <w:tcPr>
            <w:tcW w:type="dxa" w:w="1208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10.61</w:t>
            </w:r>
          </w:p>
        </w:tc>
      </w:tr>
      <w:tr>
        <w:tc>
          <w:tcPr>
            <w:tcW w:type="dxa" w:w="1686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</w:t>
            </w:r>
          </w:p>
        </w:tc>
        <w:tc>
          <w:tcPr>
            <w:tcW w:type="dxa" w:w="1204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177.7</w:t>
            </w:r>
          </w:p>
        </w:tc>
        <w:tc>
          <w:tcPr>
            <w:tcW w:type="dxa" w:w="1204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194.9</w:t>
            </w:r>
          </w:p>
        </w:tc>
        <w:tc>
          <w:tcPr>
            <w:tcW w:type="dxa" w:w="1566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215.7</w:t>
            </w:r>
          </w:p>
        </w:tc>
        <w:tc>
          <w:tcPr>
            <w:tcW w:type="dxa" w:w="1566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232.0</w:t>
            </w:r>
          </w:p>
        </w:tc>
        <w:tc>
          <w:tcPr>
            <w:tcW w:type="dxa" w:w="1204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248.3</w:t>
            </w:r>
          </w:p>
        </w:tc>
        <w:tc>
          <w:tcPr>
            <w:tcW w:type="dxa" w:w="1208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266.8</w:t>
            </w:r>
          </w:p>
        </w:tc>
      </w:tr>
      <w:tr>
        <w:tc>
          <w:tcPr>
            <w:tcW w:type="dxa" w:w="1686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120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−31%</w:t>
            </w:r>
          </w:p>
        </w:tc>
        <w:tc>
          <w:tcPr>
            <w:tcW w:type="dxa" w:w="120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−24%</w:t>
            </w:r>
          </w:p>
        </w:tc>
        <w:tc>
          <w:tcPr>
            <w:tcW w:type="dxa" w:w="1566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−16%</w:t>
            </w:r>
          </w:p>
        </w:tc>
        <w:tc>
          <w:tcPr>
            <w:tcW w:type="dxa" w:w="1566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−10%</w:t>
            </w:r>
          </w:p>
        </w:tc>
        <w:tc>
          <w:tcPr>
            <w:tcW w:type="dxa" w:w="120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−3%</w:t>
            </w:r>
          </w:p>
        </w:tc>
        <w:tc>
          <w:tcPr>
            <w:tcW w:type="dxa" w:w="1208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+4%</w:t>
            </w:r>
          </w:p>
        </w:tc>
      </w:tr>
    </w:tbl>
    <w:p>
      <w:pPr>
        <w:spacing w:after="120" w:line="300"/>
      </w:pPr>
      <w:r>
        <w:rPr>
          <w:rFonts w:ascii="Microsoft JhengHei" w:eastAsia="Microsoft JhengHei" w:hAnsi="Microsoft JhengHei"/>
          <w:i/>
          <w:iCs/>
          <w:color w:val="5B6573"/>
          <w:sz w:val="17"/>
          <w:szCs w:val="17"/>
        </w:rPr>
        <w:t xml:space="preserve">損益兩平 H ≈ 24.3%：須比 Q2 再提升約 1.2ppt，模型目標價才等於現價。</w:t>
      </w:r>
    </w:p>
    <w:p>
      <w:pPr>
        <w:pStyle w:val="Heading1"/>
        <w:pBdr>
          <w:bottom w:val="single" w:color="1F3A5F" w:sz="8" w:space="4"/>
        </w:pBdr>
        <w:spacing w:after="140" w:before="280"/>
      </w:pPr>
      <w:r>
        <w:rPr>
          <w:rFonts w:ascii="Microsoft JhengHei" w:eastAsia="Microsoft JhengHei" w:hAnsi="Microsoft JhengHei"/>
          <w:b/>
          <w:bCs/>
          <w:color w:val="1F3A5F"/>
          <w:sz w:val="30"/>
          <w:szCs w:val="30"/>
        </w:rPr>
        <w:t xml:space="preserve">五、同業估值參考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7"/>
        <w:gridCol w:w="983"/>
        <w:gridCol w:w="1278"/>
        <w:gridCol w:w="1081"/>
        <w:gridCol w:w="1376"/>
        <w:gridCol w:w="1278"/>
        <w:gridCol w:w="1085"/>
      </w:tblGrid>
      <w:tr>
        <w:trPr>
          <w:tblHeader/>
        </w:trPr>
        <w:tc>
          <w:tcPr>
            <w:tcW w:type="dxa" w:w="2557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公司</w:t>
            </w:r>
          </w:p>
        </w:tc>
        <w:tc>
          <w:tcPr>
            <w:tcW w:type="dxa" w:w="983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股價</w:t>
            </w:r>
          </w:p>
        </w:tc>
        <w:tc>
          <w:tcPr>
            <w:tcW w:type="dxa" w:w="1278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市值（億）</w:t>
            </w:r>
          </w:p>
        </w:tc>
        <w:tc>
          <w:tcPr>
            <w:tcW w:type="dxa" w:w="1081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TTM P/E</w:t>
            </w:r>
          </w:p>
        </w:tc>
        <w:tc>
          <w:tcPr>
            <w:tcW w:type="dxa" w:w="1376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最新季毛利率</w:t>
            </w:r>
          </w:p>
        </w:tc>
        <w:tc>
          <w:tcPr>
            <w:tcW w:type="dxa" w:w="1278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TTM 毛利率</w:t>
            </w:r>
          </w:p>
        </w:tc>
        <w:tc>
          <w:tcPr>
            <w:tcW w:type="dxa" w:w="1085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1 年股價</w:t>
            </w:r>
          </w:p>
        </w:tc>
      </w:tr>
      <w:tr>
        <w:tc>
          <w:tcPr>
            <w:tcW w:type="dxa" w:w="2557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矽格 6257</w:t>
            </w:r>
          </w:p>
        </w:tc>
        <w:tc>
          <w:tcPr>
            <w:tcW w:type="dxa" w:w="983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256.5</w:t>
            </w:r>
          </w:p>
        </w:tc>
        <w:tc>
          <w:tcPr>
            <w:tcW w:type="dxa" w:w="1278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1,228</w:t>
            </w:r>
          </w:p>
        </w:tc>
        <w:tc>
          <w:tcPr>
            <w:tcW w:type="dxa" w:w="1081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30.1x</w:t>
            </w:r>
          </w:p>
        </w:tc>
        <w:tc>
          <w:tcPr>
            <w:tcW w:type="dxa" w:w="1376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34.2%</w:t>
            </w:r>
          </w:p>
        </w:tc>
        <w:tc>
          <w:tcPr>
            <w:tcW w:type="dxa" w:w="1278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30.9%</w:t>
            </w:r>
          </w:p>
        </w:tc>
        <w:tc>
          <w:tcPr>
            <w:tcW w:type="dxa" w:w="1085"/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+179%</w:t>
            </w:r>
          </w:p>
        </w:tc>
      </w:tr>
      <w:tr>
        <w:tc>
          <w:tcPr>
            <w:tcW w:type="dxa" w:w="2557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京元電子 2449</w:t>
            </w:r>
          </w:p>
        </w:tc>
        <w:tc>
          <w:tcPr>
            <w:tcW w:type="dxa" w:w="983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296.0</w:t>
            </w:r>
          </w:p>
        </w:tc>
        <w:tc>
          <w:tcPr>
            <w:tcW w:type="dxa" w:w="1278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3,800</w:t>
            </w:r>
          </w:p>
        </w:tc>
        <w:tc>
          <w:tcPr>
            <w:tcW w:type="dxa" w:w="1081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39.3x</w:t>
            </w:r>
          </w:p>
        </w:tc>
        <w:tc>
          <w:tcPr>
            <w:tcW w:type="dxa" w:w="1376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39.5%</w:t>
            </w:r>
          </w:p>
        </w:tc>
        <w:tc>
          <w:tcPr>
            <w:tcW w:type="dxa" w:w="1278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37.9%</w:t>
            </w:r>
          </w:p>
        </w:tc>
        <w:tc>
          <w:tcPr>
            <w:tcW w:type="dxa" w:w="1085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+88%</w:t>
            </w:r>
          </w:p>
        </w:tc>
      </w:tr>
      <w:tr>
        <w:tc>
          <w:tcPr>
            <w:tcW w:type="dxa" w:w="2557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欣銓 3264</w:t>
            </w:r>
          </w:p>
        </w:tc>
        <w:tc>
          <w:tcPr>
            <w:tcW w:type="dxa" w:w="98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245.5</w:t>
            </w:r>
          </w:p>
        </w:tc>
        <w:tc>
          <w:tcPr>
            <w:tcW w:type="dxa" w:w="1278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1,163</w:t>
            </w:r>
          </w:p>
        </w:tc>
        <w:tc>
          <w:tcPr>
            <w:tcW w:type="dxa" w:w="108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31.0x</w:t>
            </w:r>
          </w:p>
        </w:tc>
        <w:tc>
          <w:tcPr>
            <w:tcW w:type="dxa" w:w="1376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40.2%</w:t>
            </w:r>
          </w:p>
        </w:tc>
        <w:tc>
          <w:tcPr>
            <w:tcW w:type="dxa" w:w="1278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38.1%</w:t>
            </w:r>
          </w:p>
        </w:tc>
        <w:tc>
          <w:tcPr>
            <w:tcW w:type="dxa" w:w="108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+191%</w:t>
            </w:r>
          </w:p>
        </w:tc>
      </w:tr>
      <w:tr>
        <w:tc>
          <w:tcPr>
            <w:tcW w:type="dxa" w:w="2557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日月光投控 3711</w:t>
            </w:r>
          </w:p>
        </w:tc>
        <w:tc>
          <w:tcPr>
            <w:tcW w:type="dxa" w:w="983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710.0</w:t>
            </w:r>
          </w:p>
        </w:tc>
        <w:tc>
          <w:tcPr>
            <w:tcW w:type="dxa" w:w="1278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31,223</w:t>
            </w:r>
          </w:p>
        </w:tc>
        <w:tc>
          <w:tcPr>
            <w:tcW w:type="dxa" w:w="1081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51.0x</w:t>
            </w:r>
          </w:p>
        </w:tc>
        <w:tc>
          <w:tcPr>
            <w:tcW w:type="dxa" w:w="1376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21.0%</w:t>
            </w:r>
          </w:p>
        </w:tc>
        <w:tc>
          <w:tcPr>
            <w:tcW w:type="dxa" w:w="1278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19.5%</w:t>
            </w:r>
          </w:p>
        </w:tc>
        <w:tc>
          <w:tcPr>
            <w:tcW w:type="dxa" w:w="1085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+336%</w:t>
            </w:r>
          </w:p>
        </w:tc>
      </w:tr>
      <w:tr>
        <w:tc>
          <w:tcPr>
            <w:tcW w:type="dxa" w:w="2557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同業中位數（不含矽格）</w:t>
            </w:r>
          </w:p>
        </w:tc>
        <w:tc>
          <w:tcPr>
            <w:tcW w:type="dxa" w:w="983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78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1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39.3x</w:t>
            </w:r>
          </w:p>
        </w:tc>
        <w:tc>
          <w:tcPr>
            <w:tcW w:type="dxa" w:w="1376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39.5%</w:t>
            </w:r>
          </w:p>
        </w:tc>
        <w:tc>
          <w:tcPr>
            <w:tcW w:type="dxa" w:w="1278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37.9%</w:t>
            </w:r>
          </w:p>
        </w:tc>
        <w:tc>
          <w:tcPr>
            <w:tcW w:type="dxa" w:w="108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rFonts w:ascii="Microsoft JhengHei" w:eastAsia="Microsoft JhengHei" w:hAnsi="Microsoft JhengHei"/>
          <w:i/>
          <w:iCs/>
          <w:color w:val="5B6573"/>
          <w:sz w:val="17"/>
          <w:szCs w:val="17"/>
        </w:rPr>
        <w:t xml:space="preserve">資料：Bigdata.com（FMP 基本面），2026-10-01 收盤；最新季為 2026Q2。此表為研究參考，非 Kevin 模型正式「同業模式」（正式模式需先確認同業名單）。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sz w:val="21"/>
          <w:szCs w:val="21"/>
        </w:rPr>
        <w:t xml:space="preserve">RelPE_TTM = 30.1 ÷ 39.3 = 0.77（偏低）；若僅與純測試廠京元電、欣銓比（中位 35.1x），為 0.86（合理下緣）。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sz w:val="21"/>
          <w:szCs w:val="21"/>
        </w:rPr>
        <w:t xml:space="preserve">RelGM = 34.2% − 39.5% = −5.3ppt：毛利率仍明顯低於純測試同業，手機與消費性占比較高、封裝業務拉低組合。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sz w:val="21"/>
          <w:szCs w:val="21"/>
        </w:rPr>
        <w:t xml:space="preserve">解讀：相對同業屬「弱質折價」而非低估——折價來自產品組合較弱，若 AI／矽光子占比持續提升、毛利率向 38% 靠攏，折價才有收斂空間。</w:t>
      </w:r>
    </w:p>
    <w:p>
      <w:pPr>
        <w:pStyle w:val="Heading1"/>
        <w:pBdr>
          <w:bottom w:val="single" w:color="1F3A5F" w:sz="8" w:space="4"/>
        </w:pBdr>
        <w:spacing w:after="140" w:before="280"/>
      </w:pPr>
      <w:r>
        <w:rPr>
          <w:rFonts w:ascii="Microsoft JhengHei" w:eastAsia="Microsoft JhengHei" w:hAnsi="Microsoft JhengHei"/>
          <w:b/>
          <w:bCs/>
          <w:color w:val="1F3A5F"/>
          <w:sz w:val="30"/>
          <w:szCs w:val="30"/>
        </w:rPr>
        <w:t xml:space="preserve">六、風險檢核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估值超前：</w:t>
      </w:r>
      <w:r>
        <w:rPr>
          <w:rFonts w:ascii="Microsoft JhengHei" w:eastAsia="Microsoft JhengHei" w:hAnsi="Microsoft JhengHei"/>
          <w:sz w:val="21"/>
          <w:szCs w:val="21"/>
        </w:rPr>
        <w:t xml:space="preserve">M/N 27.2x 已高於模型投資組合錨 PE（21–24x），YTD 漲 120%；任何月營收或毛利率不如預期都會放大回檔。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折舊與資本密集：</w:t>
      </w:r>
      <w:r>
        <w:rPr>
          <w:rFonts w:ascii="Microsoft JhengHei" w:eastAsia="Microsoft JhengHei" w:hAnsi="Microsoft JhengHei"/>
          <w:sz w:val="21"/>
          <w:szCs w:val="21"/>
        </w:rPr>
        <w:t xml:space="preserve">2026 capex 88 億、H1 自由現金流 −20.7 億、轉為淨負債；中興三廠 27Q1 投產，量產初期折舊先行，可能壓抑毛利率。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基期 EPS 扭曲：</w:t>
      </w:r>
      <w:r>
        <w:rPr>
          <w:rFonts w:ascii="Microsoft JhengHei" w:eastAsia="Microsoft JhengHei" w:hAnsi="Microsoft JhengHei"/>
          <w:sz w:val="21"/>
          <w:szCs w:val="21"/>
        </w:rPr>
        <w:t xml:space="preserve">25Q2 匯損約 7 億壓低 2025 EPS，帳面 J 使成長率 O 被放大（53% vs 33%），帳面口徑目標價較調整口徑高約 25 元。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盈餘品質：</w:t>
      </w:r>
      <w:r>
        <w:rPr>
          <w:rFonts w:ascii="Microsoft JhengHei" w:eastAsia="Microsoft JhengHei" w:hAnsi="Microsoft JhengHei"/>
          <w:sz w:val="21"/>
          <w:szCs w:val="21"/>
        </w:rPr>
        <w:t xml:space="preserve">H1 業外占稅前 8.9%（落在 5–10% 區間，採帳面 H）；Q1 達 14.2%，業外細項（匯兌、評價）未取得附註，Q3 若台幣再升值可能反轉為損失。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客戶與應用集中：</w:t>
      </w:r>
      <w:r>
        <w:rPr>
          <w:rFonts w:ascii="Microsoft JhengHei" w:eastAsia="Microsoft JhengHei" w:hAnsi="Microsoft JhengHei"/>
          <w:sz w:val="21"/>
          <w:szCs w:val="21"/>
        </w:rPr>
        <w:t xml:space="preserve">湖口二廠產能由單一國外大客戶預訂，矽光子 PIC 仍在驗證；手機仍占 31%，消費性景氣下行會拖累整體稼動率。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eastAsia="Microsoft JhengHei" w:hAnsi="Microsoft JhengHei"/>
          <w:b/>
          <w:bCs/>
          <w:sz w:val="21"/>
          <w:szCs w:val="21"/>
        </w:rPr>
        <w:t xml:space="preserve">錨定值時效：</w:t>
      </w:r>
      <w:r>
        <w:rPr>
          <w:rFonts w:ascii="Microsoft JhengHei" w:eastAsia="Microsoft JhengHei" w:hAnsi="Microsoft JhengHei"/>
          <w:sz w:val="21"/>
          <w:szCs w:val="21"/>
        </w:rPr>
        <w:t xml:space="preserve">使用 2026-09-11 workbook 錨定值（20 天），大盤 PE 31.26 ÷ 中位 17 = 1.84，M_adj 0.85 已將大盤過熱折價納入。</w:t>
      </w:r>
    </w:p>
    <w:p>
      <w:pPr>
        <w:pStyle w:val="Heading1"/>
        <w:pBdr>
          <w:bottom w:val="single" w:color="1F3A5F" w:sz="8" w:space="4"/>
        </w:pBdr>
        <w:spacing w:after="140" w:before="280"/>
      </w:pPr>
      <w:r>
        <w:rPr>
          <w:rFonts w:ascii="Microsoft JhengHei" w:eastAsia="Microsoft JhengHei" w:hAnsi="Microsoft JhengHei"/>
          <w:b/>
          <w:bCs/>
          <w:color w:val="1F3A5F"/>
          <w:sz w:val="30"/>
          <w:szCs w:val="30"/>
        </w:rPr>
        <w:t xml:space="preserve">七、追蹤重點與時程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5"/>
        <w:gridCol w:w="2514"/>
        <w:gridCol w:w="5239"/>
      </w:tblGrid>
      <w:tr>
        <w:trPr>
          <w:tblHeader/>
        </w:trPr>
        <w:tc>
          <w:tcPr>
            <w:tcW w:type="dxa" w:w="1885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2514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事件</w:t>
            </w:r>
          </w:p>
        </w:tc>
        <w:tc>
          <w:tcPr>
            <w:tcW w:type="dxa" w:w="5239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觀察指標</w:t>
            </w:r>
          </w:p>
        </w:tc>
      </w:tr>
      <w:tr>
        <w:tc>
          <w:tcPr>
            <w:tcW w:type="dxa" w:w="188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2026/10/10 前</w:t>
            </w:r>
          </w:p>
        </w:tc>
        <w:tc>
          <w:tcPr>
            <w:tcW w:type="dxa" w:w="251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 月營收</w:t>
            </w:r>
          </w:p>
        </w:tc>
        <w:tc>
          <w:tcPr>
            <w:tcW w:type="dxa" w:w="5239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是否續破 20 億；Q3 營收是否 &gt; 61 億（季增 4%+）</w:t>
            </w:r>
          </w:p>
        </w:tc>
      </w:tr>
      <w:tr>
        <w:tc>
          <w:tcPr>
            <w:tcW w:type="dxa" w:w="1885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2026/11 上旬</w:t>
            </w:r>
          </w:p>
        </w:tc>
        <w:tc>
          <w:tcPr>
            <w:tcW w:type="dxa" w:w="2514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26Q3 財報／法說</w:t>
            </w:r>
          </w:p>
        </w:tc>
        <w:tc>
          <w:tcPr>
            <w:tcW w:type="dxa" w:w="5239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毛利率能否守 34%+、合併淨利率是否 ≥ 24%（模型兩平點）</w:t>
            </w:r>
          </w:p>
        </w:tc>
      </w:tr>
      <w:tr>
        <w:tc>
          <w:tcPr>
            <w:tcW w:type="dxa" w:w="188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2026Q4</w:t>
            </w:r>
          </w:p>
        </w:tc>
        <w:tc>
          <w:tcPr>
            <w:tcW w:type="dxa" w:w="251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竹東中興三廠完工</w:t>
            </w:r>
          </w:p>
        </w:tc>
        <w:tc>
          <w:tcPr>
            <w:tcW w:type="dxa" w:w="5239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設備進機時程、2027 capex 指引</w:t>
            </w:r>
          </w:p>
        </w:tc>
      </w:tr>
      <w:tr>
        <w:tc>
          <w:tcPr>
            <w:tcW w:type="dxa" w:w="1885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2027Q1</w:t>
            </w:r>
          </w:p>
        </w:tc>
        <w:tc>
          <w:tcPr>
            <w:tcW w:type="dxa" w:w="2514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中興三廠量產</w:t>
            </w:r>
          </w:p>
        </w:tc>
        <w:tc>
          <w:tcPr>
            <w:tcW w:type="dxa" w:w="5239"/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AI／ASIC 占比是否突破 30%、折舊對毛利率影響</w:t>
            </w:r>
          </w:p>
        </w:tc>
      </w:tr>
      <w:tr>
        <w:tc>
          <w:tcPr>
            <w:tcW w:type="dxa" w:w="1885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持續</w:t>
            </w:r>
          </w:p>
        </w:tc>
        <w:tc>
          <w:tcPr>
            <w:tcW w:type="dxa" w:w="2514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新台幣匯率</w:t>
            </w:r>
          </w:p>
        </w:tc>
        <w:tc>
          <w:tcPr>
            <w:tcW w:type="dxa" w:w="5239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業外匯兌損益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40" w:before="280"/>
      </w:pPr>
      <w:r>
        <w:rPr>
          <w:rFonts w:ascii="Microsoft JhengHei" w:eastAsia="Microsoft JhengHei" w:hAnsi="Microsoft JhengHei"/>
          <w:b/>
          <w:bCs/>
          <w:color w:val="1F3A5F"/>
          <w:sz w:val="30"/>
          <w:szCs w:val="30"/>
        </w:rPr>
        <w:t xml:space="preserve">八、資料來源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ugwffrwrzkfyjditlo1ey">
        <w:r>
          <w:rPr>
            <w:rStyle w:val="Hyperlink"/>
            <w:rFonts w:ascii="Microsoft JhengHei" w:eastAsia="Microsoft JhengHei" w:hAnsi="Microsoft JhengHei"/>
            <w:sz w:val="18"/>
            <w:szCs w:val="18"/>
          </w:rPr>
          <w:t xml:space="preserve">Bigdata.com — Sigurd Microelectronics 公司 tearsheet（季度財報、資產負債、現金流、股價）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hl1lj5m4gaavvwyk1m_sw">
        <w:r>
          <w:rPr>
            <w:rStyle w:val="Hyperlink"/>
            <w:rFonts w:ascii="Microsoft JhengHei" w:eastAsia="Microsoft JhengHei" w:hAnsi="Microsoft JhengHei"/>
            <w:sz w:val="18"/>
            <w:szCs w:val="18"/>
          </w:rPr>
          <w:t xml:space="preserve">工商時報：矽格 Q2 獲利飆逾 2 倍，上半年 EPS 4.65 元創新高（2026/08/06）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amgbwmbdnks18wuvn6j5r">
        <w:r>
          <w:rPr>
            <w:rStyle w:val="Hyperlink"/>
            <w:rFonts w:ascii="Microsoft JhengHei" w:eastAsia="Microsoft JhengHei" w:hAnsi="Microsoft JhengHei"/>
            <w:sz w:val="18"/>
            <w:szCs w:val="18"/>
          </w:rPr>
          <w:t xml:space="preserve">工商時報：矽格月營收再破 20 億元締新猷，前 8 月成長 2 成（2026/09/07）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ao3dnltrwnr4g6vutln01">
        <w:r>
          <w:rPr>
            <w:rStyle w:val="Hyperlink"/>
            <w:rFonts w:ascii="Microsoft JhengHei" w:eastAsia="Microsoft JhengHei" w:hAnsi="Microsoft JhengHei"/>
            <w:sz w:val="18"/>
            <w:szCs w:val="18"/>
          </w:rPr>
          <w:t xml:space="preserve">科技新報：矽格 7 月營收 20.14 億元（2026/08/05）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7ex-kgt3rnu0zjfdv7zl2">
        <w:r>
          <w:rPr>
            <w:rStyle w:val="Hyperlink"/>
            <w:rFonts w:ascii="Microsoft JhengHei" w:eastAsia="Microsoft JhengHei" w:hAnsi="Microsoft JhengHei"/>
            <w:sz w:val="18"/>
            <w:szCs w:val="18"/>
          </w:rPr>
          <w:t xml:space="preserve">工商時報：矽格 2025 年 EPS 升至 6.14 元，擬配息 4.2 元（2026/03/10）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4gxnz2tnympizbieaygl2">
        <w:r>
          <w:rPr>
            <w:rStyle w:val="Hyperlink"/>
            <w:rFonts w:ascii="Microsoft JhengHei" w:eastAsia="Microsoft JhengHei" w:hAnsi="Microsoft JhengHei"/>
            <w:sz w:val="18"/>
            <w:szCs w:val="18"/>
          </w:rPr>
          <w:t xml:space="preserve">鉅亨網：矽格 Q1 EPS 2.1 元創同期高，上調資本支出至 88 億元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spmoayxqmbrn9urubsefs">
        <w:r>
          <w:rPr>
            <w:rStyle w:val="Hyperlink"/>
            <w:rFonts w:ascii="Microsoft JhengHei" w:eastAsia="Microsoft JhengHei" w:hAnsi="Microsoft JhengHei"/>
            <w:sz w:val="18"/>
            <w:szCs w:val="18"/>
          </w:rPr>
          <w:t xml:space="preserve">聯合報：矽格今年資本支出增至 88 億元，AI 和 ASIC 封測需求強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7nxjplefkb4to3mcxrmhc">
        <w:r>
          <w:rPr>
            <w:rStyle w:val="Hyperlink"/>
            <w:rFonts w:ascii="Microsoft JhengHei" w:eastAsia="Microsoft JhengHei" w:hAnsi="Microsoft JhengHei"/>
            <w:sz w:val="18"/>
            <w:szCs w:val="18"/>
          </w:rPr>
          <w:t xml:space="preserve">優分析：AI 營收占比快追平手機業務，矽格擴產 88 億元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zzaqhgxpsfi6lnaklw92-">
        <w:r>
          <w:rPr>
            <w:rStyle w:val="Hyperlink"/>
            <w:rFonts w:ascii="Microsoft JhengHei" w:eastAsia="Microsoft JhengHei" w:hAnsi="Microsoft JhengHei"/>
            <w:sz w:val="18"/>
            <w:szCs w:val="18"/>
          </w:rPr>
          <w:t xml:space="preserve">鉅亨網：〈矽格法說〉AI、ASIC、矽光子需求強，中興三廠拚提前完工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gwsh7s7xhntuynwgp4qb0">
        <w:r>
          <w:rPr>
            <w:rStyle w:val="Hyperlink"/>
            <w:rFonts w:ascii="Microsoft JhengHei" w:eastAsia="Microsoft JhengHei" w:hAnsi="Microsoft JhengHei"/>
            <w:sz w:val="18"/>
            <w:szCs w:val="18"/>
          </w:rPr>
          <w:t xml:space="preserve">經濟日報：矽格攻 CPO 晶片測試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505xl5eiuxnwrsbye1ukv">
        <w:r>
          <w:rPr>
            <w:rStyle w:val="Hyperlink"/>
            <w:rFonts w:ascii="Microsoft JhengHei" w:eastAsia="Microsoft JhengHei" w:hAnsi="Microsoft JhengHei"/>
            <w:sz w:val="18"/>
            <w:szCs w:val="18"/>
          </w:rPr>
          <w:t xml:space="preserve">工商時報：矽格 Q2 每股賺 0.7 元 6 季低（2025 年匯損背景）</w:t>
        </w:r>
      </w:hyperlink>
    </w:p>
    <w:p>
      <w:pPr>
        <w:spacing w:after="120" w:line="300"/>
      </w:pPr>
      <w:r>
        <w:rPr>
          <w:rFonts w:ascii="Microsoft JhengHei" w:eastAsia="Microsoft JhengHei" w:hAnsi="Microsoft JhengHei"/>
          <w:i/>
          <w:iCs/>
          <w:color w:val="5B6573"/>
          <w:sz w:val="17"/>
          <w:szCs w:val="17"/>
        </w:rPr>
        <w:t xml:space="preserve">限制說明：本次環境無法直連公開資訊觀測站，業外細項（匯兌、金融資產評價）未能取得財報附註；月營收以百萬元精度計算。</w:t>
      </w:r>
    </w:p>
    <w:p>
      <w:pPr>
        <w:pStyle w:val="Heading1"/>
        <w:pBdr>
          <w:bottom w:val="single" w:color="1F3A5F" w:sz="8" w:space="4"/>
        </w:pBdr>
        <w:spacing w:after="140" w:before="280"/>
      </w:pPr>
      <w:r>
        <w:rPr>
          <w:rFonts w:ascii="Microsoft JhengHei" w:eastAsia="Microsoft JhengHei" w:hAnsi="Microsoft JhengHei"/>
          <w:b/>
          <w:bCs/>
          <w:color w:val="1F3A5F"/>
          <w:sz w:val="30"/>
          <w:szCs w:val="30"/>
        </w:rPr>
        <w:t xml:space="preserve">免責聲明</w:t>
      </w:r>
    </w:p>
    <w:p>
      <w:pPr>
        <w:spacing w:after="100" w:line="300"/>
      </w:pPr>
      <w:r>
        <w:rPr>
          <w:rFonts w:ascii="Microsoft JhengHei" w:eastAsia="Microsoft JhengHei" w:hAnsi="Microsoft JhengHei"/>
          <w:color w:val="5B6573"/>
          <w:sz w:val="18"/>
          <w:szCs w:val="18"/>
        </w:rPr>
        <w:t xml:space="preserve">本報告為 Kevin 個人模型試算與公開資訊整理，僅供研究參考，非投資建議。數據可能因公司更正或資料源差異而有出入，投資決策請自行判斷並承擔風險。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eastAsia="Microsoft JhengHei" w:hAnsi="Microsoft JhengHei"/>
        <w:color w:val="5B6573"/>
        <w:sz w:val="16"/>
        <w:szCs w:val="16"/>
      </w:rPr>
      <w:t xml:space="preserve">矽格 6257 研究報告｜2026-10-01｜非投資建議｜第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eastAsia="Microsoft JhengHei" w:hAnsi="Microsoft JhengHei"/>
        <w:color w:val="5B6573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gwffrwrzkfyjditlo1ey" Type="http://schemas.openxmlformats.org/officeDocument/2006/relationships/hyperlink" Target="https://bigdata.com" TargetMode="External"/><Relationship Id="rIdhl1lj5m4gaavvwyk1m_sw" Type="http://schemas.openxmlformats.org/officeDocument/2006/relationships/hyperlink" Target="https://www.ctee.com.tw/news/20260806701504-430201" TargetMode="External"/><Relationship Id="rIdamgbwmbdnks18wuvn6j5r" Type="http://schemas.openxmlformats.org/officeDocument/2006/relationships/hyperlink" Target="https://www.ctee.com.tw/news/20260907701432-430201" TargetMode="External"/><Relationship Id="rIdao3dnltrwnr4g6vutln01" Type="http://schemas.openxmlformats.org/officeDocument/2006/relationships/hyperlink" Target="https://finance.technews.tw/2026/08/05/sigurd-6257-202607-financial-report" TargetMode="External"/><Relationship Id="rId7ex-kgt3rnu0zjfdv7zl2" Type="http://schemas.openxmlformats.org/officeDocument/2006/relationships/hyperlink" Target="https://www.ctee.com.tw/news/20260310700785-430201" TargetMode="External"/><Relationship Id="rId4gxnz2tnympizbieaygl2" Type="http://schemas.openxmlformats.org/officeDocument/2006/relationships/hyperlink" Target="https://news.cnyes.com/news/id/6443706" TargetMode="External"/><Relationship Id="rIdspmoayxqmbrn9urubsefs" Type="http://schemas.openxmlformats.org/officeDocument/2006/relationships/hyperlink" Target="https://udn.com/news/story/7240/9483827" TargetMode="External"/><Relationship Id="rId7nxjplefkb4to3mcxrmhc" Type="http://schemas.openxmlformats.org/officeDocument/2006/relationships/hyperlink" Target="https://uanalyze.com.tw/articles/2966351898" TargetMode="External"/><Relationship Id="rIdzzaqhgxpsfi6lnaklw92-" Type="http://schemas.openxmlformats.org/officeDocument/2006/relationships/hyperlink" Target="https://news.cnyes.com/news/id/6254267" TargetMode="External"/><Relationship Id="rIdgwsh7s7xhntuynwgp4qb0" Type="http://schemas.openxmlformats.org/officeDocument/2006/relationships/hyperlink" Target="https://money.udn.com/money/story/5710/9167687" TargetMode="External"/><Relationship Id="rId505xl5eiuxnwrsbye1ukv" Type="http://schemas.openxmlformats.org/officeDocument/2006/relationships/hyperlink" Target="https://www.ctee.com.tw/news/20250730701446-430201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矽格 6257 研究報告</dc:title>
  <dc:creator>Kevin Stock Research</dc:creator>
  <cp:lastModifiedBy>Un-named</cp:lastModifiedBy>
  <cp:revision>1</cp:revision>
  <dcterms:created xsi:type="dcterms:W3CDTF">2026-10-01T16:44:41.137Z</dcterms:created>
  <dcterms:modified xsi:type="dcterms:W3CDTF">2026-10-01T16:44:41.145Z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