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JhengHei" w:hAnsi="Arial"/>
          <w:b/>
          <w:bCs/>
          <w:color w:val="1F4E79"/>
          <w:sz w:val="40"/>
          <w:szCs w:val="40"/>
        </w:rPr>
        <w:t xml:space="preserve">竹陞科技（6739）個股研究報告</w:t>
      </w:r>
    </w:p>
    <w:p>
      <w:pPr>
        <w:spacing w:after="60"/>
      </w:pPr>
      <w:r>
        <w:rPr>
          <w:rFonts w:ascii="Arial" w:cs="Arial" w:eastAsia="Microsoft JhengHei" w:hAnsi="Arial"/>
          <w:color w:val="666666"/>
          <w:sz w:val="22"/>
          <w:szCs w:val="22"/>
        </w:rPr>
        <w:t xml:space="preserve">半導體 AI 智慧製造／機台自動化｜上櫃・其他電子業</w:t>
      </w:r>
    </w:p>
    <w:p>
      <w:pPr>
        <w:pBdr>
          <w:bottom w:val="single" w:color="1F4E79" w:sz="12" w:space="4"/>
        </w:pBdr>
        <w:spacing w:after="24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報告日期：2026-10-01　｜　股價基準：2026/09/30 收盤 NT$1,135　｜　財報基準：2026Q2（8/10 公告）、月營收至 2026/08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一、核心結論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基本面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頂級。2026 年 1–8 月營收 9.30 億元，YoY +97.1%，連 15 個月創新高；Q2 毛利率 66.8%、營益率 58.3%、淨利率 48.9%；在手訂單能見度到 2027Q2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Kevin 模型（潛力股錨定）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A（1–8 月年化）目標價 983 元（−13.4%）；情境 B（近月動能）1,128 元（−0.6%）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估值判讀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現價已反映「近月動能延續」的 2026 年情境，模型上沒有安全邊際。以公司全年指引中值 15.7 億推估 EPS 約 32.8 元，現價約 34.6 倍；TTM PE 約 47.9 倍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多空評估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中性：基本面偏多、估值已到位。要有超額報酬，需要 9 月營收與 Q3 財報落在指引高標，或市場提前切換到 2027 年估值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觀察區間（非建議）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 對應約 980–1,020 元，接近季線 1,073 元與年線 1,016 元之間，屬模型認可的安全邊際區；1,250 元以上須 2027 EPS ≥ 42 元才撐得住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一句話：</w:t>
      </w:r>
      <w:r>
        <w:rPr>
          <w:rFonts w:ascii="Arial" w:cs="Arial" w:eastAsia="Microsoft JhengHei" w:hAnsi="Arial"/>
        </w:rPr>
        <w:t xml:space="preserve">竹陞是「好公司、合理偏滿的價格」。2026 年的成長已被市場定價，接下來的股價取決於 2027 年成長能否維持 30–45% 以上，以及最大客戶占比 67% 的集中風險是否被分散。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二、公司概況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公司全名／英文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竹陞科技股份有限公司／Grade Upon Technology Corp.（GUTC）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成立／上櫃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2017/07/25 成立；2024/09/02 上櫃（產業別：其他電子業）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董事長兼總經理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方泰又；發言人 劉冠君；總部 新竹縣竹北市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實收股本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NT$2.339 億元（23,392,500 股；集保 23,392 張）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市值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約 NT$265 億元（以 1,135 元計）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主要股東（2025/4/30）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元睿 13.22%、漢京 11.88%、方泰又 9.66%、竹茗 6.81%、方治緯 6.78%、方宏洋 6.75%：經營團隊與家族持股集中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子公司／轉投資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竹阩智能數據（合肥）100%；美國 G2 Technology Corp. 50%（權益法，經營權由合資方指派）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 年股利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現金股利 13 元（2025 EPS 16.13 元，配發率約 81%）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2.1 產品線與營收結構（2026 年 1–8 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819"/>
        <w:gridCol w:w="1472"/>
        <w:gridCol w:w="1607"/>
      </w:tblGrid>
      <w:tr>
        <w:trPr>
          <w:tblHeader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產品線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AI 類別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營收占比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GoBot＋iRPA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機台遠端／自動操作（取代人工 SOP、換刀、400 多種 Alarm 排除），與上位機雙向通訊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34%（各約 17%）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GoVision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感官監測：製程中即時 AI 視覺辨識、設備聲紋異常預警、VOC 微污染監測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AIoT＋iLinkPLC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機台資料採集（溫度、濕度、壓力、氣體感測）、PLC 聯網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Physical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30%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2171"/>
        <w:gridCol w:w="5431"/>
      </w:tblGrid>
      <w:tr>
        <w:trPr>
          <w:tblHeader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終端應用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營收占比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主要驅動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先進封裝／OSAT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CoWoS、InFO、SoIC、FOPLP/CoPoS 新產線建置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記憶體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美系記憶體大廠長約（2023 年簽）、台灣銅鑼廠進機、新加坡／美國／日本海外廠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晶圓代工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先進製程（3nm 以下）機台監控、黃光區 IoT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技術別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 53%／Physical AI 47%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護城河：</w:t>
      </w:r>
      <w:r>
        <w:rPr>
          <w:rFonts w:ascii="Arial" w:cs="Arial" w:eastAsia="Microsoft JhengHei" w:hAnsi="Arial"/>
        </w:rPr>
        <w:t xml:space="preserve">已累積 82 個設備品牌、512 種機型的相容案例（應材約 70、Lam 約 64、TEL 約 58、KLA 約 39 種機型），支援 Windows／Linux／UNIX／PLC。核心價值在「跨品牌、跨世代」機台整合，單一設備原廠做不到；客戶機台單價 1–50 億元，在意的是產能與良率而不是系統價格，所以轉換成本高、議價能力強，這也是毛利率能維持 65% 以上的原因。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商業模式：</w:t>
      </w:r>
      <w:r>
        <w:rPr>
          <w:rFonts w:ascii="Arial" w:cs="Arial" w:eastAsia="Microsoft JhengHei" w:hAnsi="Arial"/>
        </w:rPr>
        <w:t xml:space="preserve">採 Early Involvement 策略，在客戶 Pilot Run 階段就和設備商、晶圓廠一起導入，量產線複製後成為標配（GoBot 在美系記憶體大廠裝機約 7,000–8,000 台）。出貨條件為 EXW，關稅與運費由客戶負擔。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三、營運動能</w:t>
      </w:r>
    </w:p>
    <w:p>
      <w:pPr>
        <w:spacing w:after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112"/>
        <w:gridCol w:w="1320"/>
        <w:gridCol w:w="1320"/>
        <w:gridCol w:w="2112"/>
        <w:gridCol w:w="1454"/>
      </w:tblGrid>
      <w:tr>
        <w:trPr>
          <w:tblHeader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2026 營收（千元）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MoM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累計（千元）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累計 YoY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91,049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+3.3%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+98.9%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91,049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+98.9%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93,142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+90.9%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184,191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+94.8%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100,094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+7.5%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+87.8%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284,285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+92.3%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110,238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+10.1%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+100.2%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394,523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+94.4%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120,177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+9.0%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+99.3%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514,700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+95.5%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129,283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+7.6%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+101.1%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643,983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+96.6%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138,046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+6.8%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+99.5%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782,029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+97.1%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148,185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+96.7%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930,214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+97.1%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3.1 公司指引（2026/09/09 法說會）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029"/>
        <w:gridCol w:w="4682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指引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推算意涵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2026Q3 營收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QoQ +21%～+24%；YoY +97%～+100%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營收 4.35–4.46 億；7+8 月已 2.86 億 → 9 月需 1.49–1.60 億（8 月 1.48 億）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2026Q3 毛利率／營益率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67%–69%／58%–60%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與 Q2（66.8%／58.3%）持平略升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全年營收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15.3–16.1 億（YoY +90%～+100%）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9–12 月需 6.0–6.8 億，月均 1.50–1.70 億，需維持月增約 2–4%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在手訂單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能見度至 2027Q2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先進封裝、OSAT、FOPLP 新專案帶動跨產品線整合訂單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資本支出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3.5 億元（YoY +13%）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新竹總部與台南廠辦、AI 大語言模型平台、機器人協作平台；回收期 &lt; 3 年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人均產值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 個月成長 35%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成長不靠等比例加人，營業槓桿持續發揮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判讀：</w:t>
      </w:r>
      <w:r>
        <w:rPr>
          <w:rFonts w:ascii="Arial" w:cs="Arial" w:eastAsia="Microsoft JhengHei" w:hAnsi="Arial"/>
        </w:rPr>
        <w:t xml:space="preserve">全年指引低標 15.3 億只需 9–12 月月均 1.50 億，以 8 月 1.48 億和每月 7% 左右的月增速度看，達成難度低。真正的觀察點是能否靠近 16.1 億高標，以及 Q4 毛利率是否因新廠折舊與人力擴編下滑。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四、財務分析</w:t>
      </w:r>
    </w:p>
    <w:p>
      <w:pPr>
        <w:spacing w:after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432"/>
        <w:gridCol w:w="1302"/>
        <w:gridCol w:w="1302"/>
        <w:gridCol w:w="1693"/>
        <w:gridCol w:w="1302"/>
        <w:gridCol w:w="1305"/>
      </w:tblGrid>
      <w:tr>
        <w:trPr>
          <w:tblHeader/>
        </w:trP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季度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營收（億）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營益率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稅後淨利（億）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淨利率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EPS（元）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24Q3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59.9%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34.3%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0.37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33.6%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1.77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24Q4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62.7%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40.7%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25Q1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1.48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65.1%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50.7%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42.4%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2.70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62.5%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39.1%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3.03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2.23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66.5%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53.8%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1.02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45.7%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4.40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25Q4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2.56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68.1%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56.3%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6.02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26Q1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2.84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68.4%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58.9%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47.3%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5.76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26Q2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66.8%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1.76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48.9%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7.54</w:t>
            </w:r>
          </w:p>
        </w:tc>
      </w:tr>
    </w:tbl>
    <w:p>
      <w:pPr>
        <w:pStyle w:val="Heading2"/>
      </w:pPr>
      <w:r>
        <w:rPr>
          <w:rFonts w:ascii="Arial" w:cs="Arial" w:eastAsia="Microsoft JhengHei" w:hAnsi="Arial"/>
        </w:rPr>
        <w:t xml:space="preserve">4.1 2026 上半年損益與盈餘品質（MOPS 公告原始數，千元）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8"/>
        <w:gridCol w:w="1779"/>
        <w:gridCol w:w="1482"/>
        <w:gridCol w:w="1779"/>
        <w:gridCol w:w="1930"/>
      </w:tblGrid>
      <w:tr>
        <w:trPr>
          <w:tblHeader/>
        </w:trP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科目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2026H1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占營收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2025H1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營業收入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643,983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327,513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+96.6%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營業毛利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434,757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67.5%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208,436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+108.6%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營業費用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57,547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8.9%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46,149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+24.7%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營業利益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377,210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58.6%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162,287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+132.4%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業外收支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8,349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1.3%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−4,110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轉正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稅前淨利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385,559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59.9%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158,177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+143.8%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所得稅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75,042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11.7%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25,314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有效稅率 19.5%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本期淨利＝歸母淨利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310,517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48.2%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132,863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+133.7%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基本 EPS（元）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13.31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5.73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+132.3%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業外占稅前 2.2%</w:t>
      </w:r>
      <w:r>
        <w:rPr>
          <w:rFonts w:ascii="Arial" w:cs="Arial" w:eastAsia="Microsoft JhengHei" w:hAnsi="Arial"/>
        </w:rPr>
        <w:t xml:space="preserve">（8,349 ÷ 385,559），主要是利息收入 5,633 千元，屬經常性；低於 5% 門檻，模型直接用帳面淨利率。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無少數股權</w:t>
      </w:r>
      <w:r>
        <w:rPr>
          <w:rFonts w:ascii="Arial" w:cs="Arial" w:eastAsia="Microsoft JhengHei" w:hAnsi="Arial"/>
        </w:rPr>
        <w:t xml:space="preserve">：本期淨利等於歸母淨利，W＝1。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費用率從 14.1% 降到 8.9%</w:t>
      </w:r>
      <w:r>
        <w:rPr>
          <w:rFonts w:ascii="Arial" w:cs="Arial" w:eastAsia="Microsoft JhengHei" w:hAnsi="Arial"/>
        </w:rPr>
        <w:t xml:space="preserve">：營收倍增、費用只增加 25%，營業槓桿是淨利成長（+134%）快過營收成長（+97%）的主因。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資產負債（2026/6/30）</w:t>
      </w:r>
      <w:r>
        <w:rPr>
          <w:rFonts w:ascii="Arial" w:cs="Arial" w:eastAsia="Microsoft JhengHei" w:hAnsi="Arial"/>
        </w:rPr>
        <w:t xml:space="preserve">：總資產 16.80 億、總負債 6.48 億、歸母權益 10.32 億，每股淨值約 44.1 元；PB 約 25.7 倍。上半年 ROE（年化）約 60%。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2025 基期 EPS 16.13 元</w:t>
      </w:r>
      <w:r>
        <w:rPr>
          <w:rFonts w:ascii="Arial" w:cs="Arial" w:eastAsia="Microsoft JhengHei" w:hAnsi="Arial"/>
        </w:rPr>
        <w:t xml:space="preserve">：2025 年業外淨額約 +0.29 億、占稅前約 6%（含 2025Q2 匯損約 3,000 萬，被權益法利益抵銷）。業外淨額是正數，基期若有偏差是偏高，模型成長率算出來會偏保守，所以不另做下修調整（調整後版本見 5.4）。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五、Kevin 股價模型估值（雙層錨定法，2026-10 版）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類別假設：潛力股（錨定 00935）。</w:t>
      </w:r>
      <w:r>
        <w:rPr>
          <w:rFonts w:ascii="Arial" w:cs="Arial" w:eastAsia="Microsoft JhengHei" w:hAnsi="Arial"/>
        </w:rPr>
        <w:t xml:space="preserve">你沒有指定類別，竹陞市值約 265 億、屬 AI 智慧製造高成長股，先歸類為潛力股；若要放進「投資組合」，請見 5.3 的錨定敏感度。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5.1 核心輸入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2065"/>
        <w:gridCol w:w="5508"/>
      </w:tblGrid>
      <w:tr>
        <w:trPr>
          <w:tblHeader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來源與期別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E 累計營收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930,214 千元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年 1–8 月合併營收（9/4 公告）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 累計月數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 毛利率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67.51%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434,757 ÷ 643,983（2026H1 財報）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H 合併淨利率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48.22%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310,517 ÷ 643,983（2026H1 財報）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W 業主淨利占比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歸母 310,517 ÷ 合併 310,517，無少數股權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業外占稅前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2.2%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(385,559 − 377,210) ÷ 385,559，&lt; 5% 採帳面 H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I 股本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2.33925 億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23,392,500 股（官方實收資本額）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J 基期 EPS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16.13 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 全年 EPS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M 目前股價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1,135 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2026/09/30 收盤（10/1 收跌、低於 5 日均價 1,107 元，確切收盤價未取得）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base_P／base_Q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23.8425／17.391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00935 PE 33 × 0.85／0.62 × M_adj 0.85（workbook 2026-09-11 錨定值，距今 20 天）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5.2 計算結果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近兩月（7–8 月）營收月均 143,116 千元，比累計月均 116,277 千元高 23.1%，超過 10% 門檻，所以加算情境 B。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65"/>
        <w:gridCol w:w="2065"/>
        <w:gridCol w:w="3168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A：1–8 月年化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B：近月動能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年化營收（千元）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1,395,321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1,502,676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B＝E＋7–8 月均 × 4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淨利率 H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48.22%（H1）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48.93%（Q2）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B 用最近一季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N 預期 EPS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28.76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31.43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E×H×W×(12/n)×10÷(I×100,000)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O EPS 成長率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+78.3%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+94.9%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對 2025 EPS 16.13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P（23.8425＋√O）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32.69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33.58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Q（17.391＋O^(2/3)）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35.69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38.19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R 股價 A＝N×P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940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1,056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S 股價 B＝N×Q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1,027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T 模型目標價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1,128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(R＋S) ÷ 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V 漲幅空間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−0.6%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對 1,135 元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目前本益比 M/N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39.5 倍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36.1 倍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5.3 敏感度分析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(1) 錨定類別：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1815"/>
        <w:gridCol w:w="1536"/>
        <w:gridCol w:w="1257"/>
        <w:gridCol w:w="1536"/>
        <w:gridCol w:w="1260"/>
      </w:tblGrid>
      <w:tr>
        <w:trPr>
          <w:tblHeader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類別（錨定 ETF）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base_P／base_Q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A 目標價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A 空間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B 目標價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B 空間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潛力股（00935）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23.84／17.39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1,128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−0.6%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CPO（00891）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20.23／14.76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894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−21.3%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1,030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−9.3%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投資組合（0050）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14.03／10.29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740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−34.8%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862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−24.1%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(2) 淨利率 H（情境 A、潛力股）：</w:t>
      </w:r>
      <w:r>
        <w:rPr>
          <w:rFonts w:ascii="Arial" w:cs="Arial" w:eastAsia="Microsoft JhengHei" w:hAnsi="Arial"/>
        </w:rPr>
        <w:t xml:space="preserve">Q4 若因新廠折舊、人力擴編讓淨利率下滑，目標價會等比例下修。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438"/>
        <w:gridCol w:w="1438"/>
        <w:gridCol w:w="2013"/>
        <w:gridCol w:w="1438"/>
        <w:gridCol w:w="1441"/>
      </w:tblGrid>
      <w:tr>
        <w:trPr>
          <w:tblHeader/>
        </w:trP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44%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46%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48.2%（H1 實績）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50%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 預期 EPS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26.25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27.44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28.76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29.82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31.02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T 目標價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852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914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1,040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1,105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V 空間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−24.9%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−19.5%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−8.3%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−2.6%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(3) 進場價位對應空間（潛力股）：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1396"/>
        <w:gridCol w:w="1396"/>
        <w:gridCol w:w="1396"/>
        <w:gridCol w:w="1396"/>
        <w:gridCol w:w="2239"/>
      </w:tblGrid>
      <w:tr>
        <w:trPr>
          <w:tblHeader/>
        </w:trP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股價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1,050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1,100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1,135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1,200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1,320（9/10 漲停價）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 空間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−6.3%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−10.6%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−18.1%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−25.5%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B 空間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+7.4%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−0.6%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−6.0%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−14.5%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5.4 基期 EPS 調整版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若把 2025 年業外淨額（約 +0.29 億）全部當成非經常性剔除，調整後 J 約 15.1 元：情境 A 的 O 升到 +90.5%，T 約 1,020 元（−10.2%）。結論不變，現價仍高於情境 A。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5.5 2027 年情境（假設推演，非 Kevin 模型）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模型以 2026 年年化為基礎，對竹陞這種訂單能見度到 2027Q2 的公司會低估遠期價值。以下用明確假設推估 2027 年的價格區間，供判斷市場何時切換估值年度：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1"/>
        <w:gridCol w:w="1219"/>
        <w:gridCol w:w="1951"/>
        <w:gridCol w:w="1219"/>
        <w:gridCol w:w="1097"/>
        <w:gridCol w:w="1097"/>
        <w:gridCol w:w="1104"/>
      </w:tblGrid>
      <w:tr>
        <w:trPr>
          <w:tblHeader/>
        </w:trP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2027 營收成長假設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營收（億）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淨利（億，淨利率 48%）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EPS（元）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25 倍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30 倍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35 倍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+30%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20.4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41.9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1,047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1,256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1,466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+45%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22.8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10.9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46.7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1,168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1,401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1,635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+60%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25.1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51.5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1,289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1,546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1,804</w:t>
            </w:r>
          </w:p>
        </w:tc>
      </w:tr>
    </w:tbl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解讀：</w:t>
      </w:r>
      <w:r>
        <w:rPr>
          <w:rFonts w:ascii="Arial" w:cs="Arial" w:eastAsia="Microsoft JhengHei" w:hAnsi="Arial"/>
        </w:rPr>
        <w:t xml:space="preserve">若 2027 年成長 30% 以上、市場願意給 30 倍，價格約 1,250–1,550 元，比現價高 10–37%。換句話說，現價買進等於押注「2027 年維持 30% 以上成長」；如果 2027 年成長掉到 20% 以下，估值會回到情境 A 的 1,000 元以下。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六、產業與競爭格局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產業位置：</w:t>
      </w:r>
      <w:r>
        <w:rPr>
          <w:rFonts w:ascii="Arial" w:cs="Arial" w:eastAsia="Microsoft JhengHei" w:hAnsi="Arial"/>
        </w:rPr>
        <w:t xml:space="preserve">竹陞位在半導體設備的「後裝智慧化層」，不賣機台，而是在既有的多品牌機台上加一層遠端操作、感測與 AI 判讀。需求同時受兩件事驅動：(1) 晶圓廠、記憶體、先進封裝擴產的新機台數；(2) 既有機台的滲透率（缺工、24 小時無人化、良率要求）。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2275"/>
        <w:gridCol w:w="2543"/>
        <w:gridCol w:w="2946"/>
      </w:tblGrid>
      <w:tr>
        <w:trPr>
          <w:tblHeader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競爭／替代來源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代表者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對竹陞的威脅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竹陞的差異化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設備原廠自行智慧化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Applied Materials、Lam、TEL、KLA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高：原廠可把遠端操作、監控內建到新機台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跨品牌、跨世代整合；舊機台改造；原廠只顧自家機台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晶圓廠自研智慧製造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台積電、美光內部 IT／自動化團隊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中：大廠有能力自建平台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已成為標配、7,000–8,000 台裝機基礎；外包比自建快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國際工業自動化巨頭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Siemens、Rockwell、Schneider、Emerson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低到中：規模大但半導體 domain 深度不足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 多年半導體設備與製程 know-how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台灣廠務／自動化整合商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盟立（2464）、迅得（6438）、帆宣（6196）等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低：多聚焦 AMHS、搬運、廠務系統，產品重疊度有限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聚焦機台端操作與 In-Process 監測，毛利率 65%+ 遠高於整合商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七、主要風險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551"/>
        <w:gridCol w:w="937"/>
        <w:gridCol w:w="2410"/>
      </w:tblGrid>
      <w:tr>
        <w:trPr>
          <w:tblHeader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追蹤指標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客戶集中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最大客戶（年報代號 D 公司）銷貨占比由 50.48% 升至 67.16%（2025 年報）；台積電＋美光合計約 70%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年報前十大客戶、海外廠導入進度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原廠／客戶內製替代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設備商持續智慧化自家機台，大廠可能自建平台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新產線標配率、新設備品牌相容數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資本支出循環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記憶體與先進封裝擴產若放緩，新機台訂單會遞延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美光、台積電 capex 指引；在手訂單成長率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估值與流動性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股本僅 2.34 億、日成交多在 150–400 張；4 月高點 1,760 元到 7 月低點 764 元，波段跌幅 56.6%；融資約 1,016 張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融資使用率（約 17%）、法人買賣超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毛利率與費用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Q2 毛利率 66.8% 比 Q1 下滑 1.6 個百分點；新竹總部進駐、擴編研發會推升折舊與費用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毛利率是否落在 67–69% 指引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應收帳款與中國子公司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2025Q2 應收帳款逾期比率 22%（16% 來自中國子公司、已全額提列）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應收帳款周轉天數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匯率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2025Q2 曾認列匯損 822 萬元；目前台灣營收占比高（2025H1 86%），影響下降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新台幣走勢、海外營收占比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合資治理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美國 G2（持股 50%）經營權由合資方指派，竹陞只有重大影響力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權益法損益、美國市場貢獻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八、催化劑與追蹤清單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529"/>
        <w:gridCol w:w="4345"/>
      </w:tblGrid>
      <w:tr>
        <w:trPr>
          <w:tblHeader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驗證標準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2026/10/10 前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 月營收公告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≥ 1.49 億（Q3 指引低標）；≥ 1.60 億為超標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2026/11 中旬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財報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營收 4.35–4.46 億、營益率 58–60%、EPS 預期約 8.5–9.5 元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2026Q4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新竹總部進駐、法說會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2027 年營收成長指引、資本支出與人力計畫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2026Q4–2027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美光銅鑼與海外廠（新加坡、美國、日本）導入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GoBot 海外裝機量、非台灣營收占比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持續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CoWoS／SoIC／FOPLP 擴產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先進封裝營收占比（目前 48%）是否續升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九、資料來源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公開資訊觀測站重大訊息：竹陞科技 115 年第二季合併財務報告（2026/08/10），經 MoneyDJ、富邦 e 點通、PChome 股市轉載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公開資訊觀測站：注意交易資訊自結損益公告（2026/07/31）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月營收：鉅亨網台股公告（2026/09/04）、MoneyDJ、Yahoo 股市、HiStock、PChome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法說會（2026/09/09）：Verkita 法說整理、工商時報（2026/09/05、09/11）、MoneyDJ（2026/08/12、08/27、09/10）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2025 法說與股東會：vocus 法說整理（2025/08/20、2026/05/27 股東會）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公司基本資料：FinLab、鉅亨網、Win 投資；籌碼：富聯網（2026/09/24）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股價：鉅亨網、PChome、StockGo、ifa.ai 技術線圖（2026/09/24–10/01）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Kevin 股價模型錨定值：投資組合 workbook 2026-09-11 版 Anchor 設定</w:t>
      </w:r>
    </w:p>
    <w:p>
      <w:pPr>
        <w:spacing w:after="60"/>
      </w:pPr>
    </w:p>
    <w:p>
      <w:pPr>
        <w:pBdr>
          <w:left w:val="single" w:color="C55A11" w:sz="18" w:space="6"/>
        </w:pBdr>
        <w:shd w:fill="F2F2F2" w:color="auto" w:val="clear"/>
        <w:spacing w:after="120" w:before="120"/>
      </w:pPr>
      <w:r>
        <w:rPr>
          <w:rFonts w:ascii="Arial" w:cs="Arial" w:eastAsia="Microsoft JhengHei" w:hAnsi="Arial"/>
          <w:color w:val="404040"/>
          <w:sz w:val="18"/>
          <w:szCs w:val="18"/>
        </w:rPr>
        <w:t xml:space="preserve">免責聲明：本報告為 Kevin 個人模型試算與公開資料整理，僅供研究參考，非投資建議。所有預估、情境與目標價都建立在報告中列明的假設上，實際結果可能有重大差異；投資人應自行判斷並承擔風險。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666666"/>
        <w:sz w:val="16"/>
        <w:szCs w:val="16"/>
      </w:rPr>
      <w:t xml:space="preserve">竹陞科技（6739）研究報告｜非投資建議｜第 </w:t>
    </w:r>
    <w:r>
      <w:rPr>
        <w:rFonts w:ascii="Arial" w:cs="Arial" w:eastAsia="Microsoft Jheng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Microsoft JhengHei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Microsoft JhengHei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a2ea3e1cd4eedf6e15082a72db95845d0dd777c.png"/><Relationship Id="rId9" Type="http://schemas.openxmlformats.org/officeDocument/2006/relationships/image" Target="media/29c5f23e23cc760975b998da80ef2bfd0416ad42.png"/><Relationship Id="rId10" Type="http://schemas.openxmlformats.org/officeDocument/2006/relationships/image" Target="media/fa84f0cd0b5a228139daa97644239b7a0b39189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竹陞科技（6739）個股研究報告</dc:title>
  <dc:creator>Kevin Stock Research</dc:creator>
  <cp:lastModifiedBy>Un-named</cp:lastModifiedBy>
  <cp:revision>1</cp:revision>
  <dcterms:created xsi:type="dcterms:W3CDTF">2026-10-01T16:48:01.715Z</dcterms:created>
  <dcterms:modified xsi:type="dcterms:W3CDTF">2026-10-01T16:48:01.721Z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