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軟正黑體" w:hAnsi="微軟正黑體" w:eastAsia="微軟正黑體" w:cs="微軟正黑體"/>
          <w:b/>
          <w:sz w:val="44"/>
        </w:rPr>
        <w:t>京元電子（2449）主要服務：工藝與工程規格</w:t>
      </w:r>
    </w:p>
    <w:p>
      <w:r>
        <w:rPr>
          <w:rFonts w:ascii="微軟正黑體" w:hAnsi="微軟正黑體" w:eastAsia="微軟正黑體" w:cs="微軟正黑體"/>
          <w:b w:val="0"/>
          <w:color w:val="55606A"/>
          <w:sz w:val="20"/>
        </w:rPr>
        <w:t>資料截止 2026-10-02｜來源：2025／2024 年報、115Q2 合併財報（Drive 既有 MOPS 下載檔）｜金額單位 NT$ 千元，另註者除外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一、摘要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京元電是</w:t>
      </w:r>
      <w:r>
        <w:rPr>
          <w:rFonts w:ascii="微軟正黑體" w:hAnsi="微軟正黑體" w:eastAsia="微軟正黑體" w:cs="微軟正黑體"/>
          <w:b/>
          <w:sz w:val="21"/>
        </w:rPr>
        <w:t>純測試廠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：晶圓針測（CP）、成品測試（FT）、Burn-in 預燒與研磨切割、掃腳出貨；封裝不是主要工序。2025 測試服務占營收 </w:t>
      </w:r>
      <w:r>
        <w:rPr>
          <w:rFonts w:ascii="微軟正黑體" w:hAnsi="微軟正黑體" w:eastAsia="微軟正黑體" w:cs="微軟正黑體"/>
          <w:b/>
          <w:sz w:val="21"/>
        </w:rPr>
        <w:t>97.0%</w:t>
      </w:r>
      <w:r>
        <w:rPr>
          <w:rFonts w:ascii="微軟正黑體" w:hAnsi="微軟正黑體" w:eastAsia="微軟正黑體" w:cs="微軟正黑體"/>
          <w:b w:val="0"/>
          <w:sz w:val="21"/>
        </w:rPr>
        <w:t>（晶圓測試 30.56%、積體電路測試 66.43%）。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工程差異化在</w:t>
      </w:r>
      <w:r>
        <w:rPr>
          <w:rFonts w:ascii="微軟正黑體" w:hAnsi="微軟正黑體" w:eastAsia="微軟正黑體" w:cs="微軟正黑體"/>
          <w:b/>
          <w:sz w:val="21"/>
        </w:rPr>
        <w:t>自製測試設備</w:t>
      </w:r>
      <w:r>
        <w:rPr>
          <w:rFonts w:ascii="微軟正黑體" w:hAnsi="微軟正黑體" w:eastAsia="微軟正黑體" w:cs="微軟正黑體"/>
          <w:b w:val="0"/>
          <w:sz w:val="21"/>
        </w:rPr>
        <w:t>：高功耗預燒爐（HP600／HP320）、液冷預燒板與冷板、KITS 自動上下架、Tray to Tray Vision Handler、影像擷取模組與 128 通道 LVDS（2025 年報 p.2、p.86）。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新技術：矽光子測試方案 2025 已開發成功；</w:t>
      </w:r>
      <w:r>
        <w:rPr>
          <w:rFonts w:ascii="微軟正黑體" w:hAnsi="微軟正黑體" w:eastAsia="微軟正黑體" w:cs="微軟正黑體"/>
          <w:b/>
          <w:sz w:val="21"/>
        </w:rPr>
        <w:t>CPO 測試機台</w:t>
      </w:r>
      <w:r>
        <w:rPr>
          <w:rFonts w:ascii="微軟正黑體" w:hAnsi="微軟正黑體" w:eastAsia="微軟正黑體" w:cs="微軟正黑體"/>
          <w:b w:val="0"/>
          <w:sz w:val="21"/>
        </w:rPr>
        <w:t>列 115Q4 預計完成（年報 p.107，預計投入 1,000 萬元）。矽光子／CPO 營收占比</w:t>
      </w:r>
      <w:r>
        <w:rPr>
          <w:rFonts w:ascii="微軟正黑體" w:hAnsi="微軟正黑體" w:eastAsia="微軟正黑體" w:cs="微軟正黑體"/>
          <w:b/>
          <w:sz w:val="21"/>
        </w:rPr>
        <w:t>未揭露</w:t>
      </w:r>
      <w:r>
        <w:rPr>
          <w:rFonts w:ascii="微軟正黑體" w:hAnsi="微軟正黑體" w:eastAsia="微軟正黑體" w:cs="微軟正黑體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關鍵尺寸、良率、機台數、稼動率公司均未揭露，本文件一律標 N/A，不推估；標「研究推論」者為產業通則。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二、產品工程規格總表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營收結構（年報「營業比重」）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2024（千元）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比重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2025（千元）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比重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晶圓測試服務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9,498,464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35.37%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10,677,061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30.56%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+12.4%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積體電路測試服務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15,881,020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59.13%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23,206,180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66.43%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+46.1%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其他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1,476,547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5.50%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1,050,305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3.01%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−28.9%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合計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26,856,031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100%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34,933,546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100%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+30.1%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來源：2024 年報 p.82、2025 年報 p.84（繼續營業單位口徑，已排除處分之京隆科技(蘇州)）。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115H1 收入細分（依認列方式）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收入種類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115H1（千元）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認列時點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封裝及測試與相關加工收入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19,774,646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92.7%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隨時間逐步滿足</w:t>
            </w:r>
          </w:p>
        </w:tc>
      </w:tr>
      <w:tr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借機收入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1,005,971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4.7%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隨時間逐步滿足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營業租賃收入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24,202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0.1%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直線基礎</w:t>
            </w:r>
          </w:p>
        </w:tc>
      </w:tr>
      <w:tr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其他營業收入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528,740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2.5%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某一時點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合計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21,333,559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來源：115Q2 合併財報 p.36。借機收入顯示部分機台以出借方式收費；客戶提供機台（consigned）比重未揭露。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各工序工程規格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75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晶圓針測 CP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研磨切割挑揀</w:t>
            </w:r>
          </w:p>
        </w:tc>
        <w:tc>
          <w:tcPr>
            <w:tcW w:type="dxa" w:w="175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成品測試 FT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Burn-in 預燒</w:t>
            </w:r>
          </w:p>
        </w:tc>
        <w:tc>
          <w:tcPr>
            <w:tcW w:type="dxa" w:w="147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6"/>
              </w:rPr>
              <w:t>掃腳／出貨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投入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客戶晶圓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測試後晶圓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封裝完成 IC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封裝完成 IC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測試完成 IC</w:t>
            </w:r>
          </w:p>
        </w:tc>
      </w:tr>
      <w:tr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製程步驟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IQC→第一次針測→針測資料轉換→雷射修補→烘烤→第二次針測→FQC→包裝→OQC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IQC→研磨→切割→Wafer AOI→晶粒挑揀→Tray AOI→FQC→包裝→OQC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IQC→成品測試→電性抽驗→烘烤→FQC→雷射／油墨蓋印→掃腳外觀→捲帶→OQC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IQC→上板→驗板→進爐／驗爐→Burn-in→出爐→下板→檢驗</w:t>
            </w:r>
          </w:p>
        </w:tc>
        <w:tc>
          <w:tcPr>
            <w:tcW w:type="dxa" w:w="147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收料→IQC→掃腳→外觀→FQC→Tray／捲帶→OQC→出貨／Drop ship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關鍵尺寸／公差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N/A（未揭露）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研磨厚度依客戶指定；數值 N/A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N/A（未揭露）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功耗等級 N/A；產品名 HP600／HP320 為型號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捲帶規格依客戶</w:t>
            </w:r>
          </w:p>
        </w:tc>
      </w:tr>
      <w:tr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檢測關口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兩次針測＋雷射修補；結果回饋前段良率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Wafer AOI、Tray AOI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電性抽驗、外觀檢測、三溫測試（研發）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驗板、驗爐；篩除早夭期產品</w:t>
            </w:r>
          </w:p>
        </w:tc>
        <w:tc>
          <w:tcPr>
            <w:tcW w:type="dxa" w:w="147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FQC／OQC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設備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ATE＋探針卡＋Prober（外購）；FOUP Stocker（自製）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研磨機、切割機（N/A 廠牌）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ATE＋Load board＋Handler；自製 Vision Handler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自製高功耗預燒爐、預燒板、KITS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掃腳機、捲帶機</w:t>
            </w:r>
          </w:p>
        </w:tc>
      </w:tr>
      <w:tr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良率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N/A（未揭露）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</w:t>
            </w:r>
          </w:p>
        </w:tc>
        <w:tc>
          <w:tcPr>
            <w:tcW w:type="dxa" w:w="147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N/A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客戶應用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Logic、Memory、Mixed-Signal、Image Sensor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晶粒出貨給封裝廠</w:t>
            </w:r>
          </w:p>
        </w:tc>
        <w:tc>
          <w:tcPr>
            <w:tcW w:type="dxa" w:w="175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AI GPU／ASIC、RF、LCD Driver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AI 晶片長時間可靠度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IC 設計公司出貨</w:t>
            </w:r>
          </w:p>
        </w:tc>
      </w:tr>
      <w:tr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依據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年報 p.89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年報 p.90</w:t>
            </w:r>
          </w:p>
        </w:tc>
        <w:tc>
          <w:tcPr>
            <w:tcW w:type="dxa" w:w="175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年報 p.90、p.2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年報 p.90、p.86</w:t>
            </w:r>
          </w:p>
        </w:tc>
        <w:tc>
          <w:tcPr>
            <w:tcW w:type="dxa" w:w="147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6"/>
              </w:rPr>
              <w:t>年報 p.90–91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三、測試流程與測試平台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封測流程總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01　測試流程總覽（示意圖，非公司原圖）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測試平台架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02　測試平台架構（三欄典型配置為研究推論；自製項目依年報）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四、新技術測試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新技術測試路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03　新技術測試路線（挑戰欄為研究推論）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115 年度研發計畫（年報 p.107）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項次</w:t>
            </w:r>
          </w:p>
        </w:tc>
        <w:tc>
          <w:tcPr>
            <w:tcW w:type="dxa" w:w="5102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研發計畫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預計完成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預計投入（元）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Tray to Tray Vision Handler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FT Handler 開發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6,000,000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Wafer Probe Mark 深度自動量測設備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15,000,000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矽光子 CPO 測試機台開發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10,000,000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液冷-浸沒式散熱控制系統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人型機器人-硬體結構協作串接驅動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5,000,000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High Power Burn-in Oven（HP600／HP320／HP320-HV、液冷模組）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High Power Burn-in Tools（KMCS、Kiwi 分析、pogo pin 量測）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17,000,000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Low Cost Burn-in Solution（HP300／HP384）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Silicon Photonic Test Solution（FT＋Burn-in）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10,000,000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CRES Analysis Technology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4,000,000</w:t>
            </w:r>
          </w:p>
        </w:tc>
      </w:tr>
      <w:tr>
        <w:tc>
          <w:tcPr>
            <w:tcW w:type="dxa" w:w="68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12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&lt;60GHz RF 與高速測試介面 PCB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1,500,000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Cold plate 熱模擬與設計能力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115/Q4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3,500,000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Burn-in 相關（7–9 項）合計 6,000 萬元，占研發計畫總額 1.28 億的 47%，顯示資源重心。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五、產能、資本支出與財務結構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產能與資本支出時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04　產能與資本支出時程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折舊槓桿與獲利結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06　折舊槓桿與獲利結構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98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1H25</w:t>
            </w:r>
          </w:p>
        </w:tc>
        <w:tc>
          <w:tcPr>
            <w:tcW w:type="dxa" w:w="198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1H26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變化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營收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15,677,364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21,333,559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+36.1%</w:t>
            </w:r>
          </w:p>
        </w:tc>
      </w:tr>
      <w:tr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毛利率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34.6%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39.6%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+5.0ppt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營益率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23.6%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26.2%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+2.6ppt</w:t>
            </w:r>
          </w:p>
        </w:tc>
      </w:tr>
      <w:tr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折舊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3,416,484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5,224,056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+52.9%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折舊／營收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21.8%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24.5%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+2.7ppt</w:t>
            </w:r>
          </w:p>
        </w:tc>
      </w:tr>
      <w:tr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取得 PP&amp;E（現金）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16,267,414</w:t>
            </w:r>
          </w:p>
        </w:tc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13,883,540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−14.7%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營業現金流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2,646,837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6,373,084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+140.8%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來源：115Q2 合併財報 p.7、p.9、p.42。1H25 營收為繼續營業單位。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六、產業位置與技術門檻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產業價值鏈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 w:eastAsia="微軟正黑體" w:cs="微軟正黑體"/>
          <w:b w:val="0"/>
          <w:color w:val="55606A"/>
          <w:sz w:val="17"/>
        </w:rPr>
        <w:t>圖 05　價值鏈位置（箭頭不代表已核實訂單）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2025 全球封測前十大依序為日月光、Amkor、長電、通富、華天、力成、</w:t>
      </w:r>
      <w:r>
        <w:rPr>
          <w:rFonts w:ascii="微軟正黑體" w:hAnsi="微軟正黑體" w:eastAsia="微軟正黑體" w:cs="微軟正黑體"/>
          <w:b/>
          <w:sz w:val="21"/>
        </w:rPr>
        <w:t>京元電</w:t>
      </w:r>
      <w:r>
        <w:rPr>
          <w:rFonts w:ascii="微軟正黑體" w:hAnsi="微軟正黑體" w:eastAsia="微軟正黑體" w:cs="微軟正黑體"/>
          <w:b w:val="0"/>
          <w:sz w:val="21"/>
        </w:rPr>
        <w:t>、Hana Micron、南茂、頎邦（MIC，年報 p.86）。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門檻：測試機台昂貴且數量多、客戶長期信賴、經驗人才（年報 p.88）；京元電另以自製 Burn-in 系統建立差異。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客戶集中：甲客戶 36%（2024 為 18%）、乙客戶 15%（關係人）；名稱未揭露，不推定（年報 p.91）。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七、規格缺口（待法說簡報或公司揭露補齊）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835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現況</w:t>
            </w:r>
          </w:p>
        </w:tc>
        <w:tc>
          <w:tcPr>
            <w:tcW w:type="dxa" w:w="311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補齊來源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應用別營收占比（AI／HPC、手機、消費、車用）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未揭露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法說會簡報（Drive 尚無）</w:t>
            </w:r>
          </w:p>
        </w:tc>
      </w:tr>
      <w:tr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Burn-in 營收占比與機台數</w:t>
            </w:r>
          </w:p>
        </w:tc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未揭露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法說會／年報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稼動率、ATE 台數與平台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未揭露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法說會</w:t>
            </w:r>
          </w:p>
        </w:tc>
      </w:tr>
      <w:tr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各廠區無塵室坪數與投產進度</w:t>
            </w:r>
          </w:p>
        </w:tc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僅頭份＋楊梅合計 35,000 坪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法說會／重大訊息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矽光子／CPO 測試營收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未揭露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法說會</w:t>
            </w:r>
          </w:p>
        </w:tc>
      </w:tr>
      <w:tr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2026 capex 500 億</w:t>
            </w:r>
          </w:p>
        </w:tc>
        <w:tc>
          <w:tcPr>
            <w:tcW w:type="dxa" w:w="283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媒體轉述，年報為 424.3 億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董事會重大訊息（MOPS，雲端被擋）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2026Q1 財報 PDF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Drive 未持有；Q1 數字以 H1−Q2 推得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MOPS 202601_2449_AI1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八、來源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9"/>
        </w:rPr>
        <w:t>京元電子 115Q2 合併財務報告（MOPS 202602_2449_AI1，Drive 1MfgQA5DHe6ukGI5dckwqlRIsM2bLCX9q）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9"/>
        </w:rPr>
        <w:t>京元電子 2025 年報（MOPS 2025_2449_20260529F04，Drive 1MWwj0K_ZsK88NP4c1EpgnophgkvWyx5_）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9"/>
        </w:rPr>
        <w:t>京元電子 2024 年報（MOPS 2024_2449_20250527F04，Drive 1lCcVGWlMDdWY25o8X5aj6k-VrB1MvV42）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9"/>
        </w:rPr>
        <w:t>Bigdata.com（https://bigdata.com）公司簡介與 25Q3–25Q4 季數字（FMP）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9"/>
        </w:rPr>
        <w:t>圖片來源：圖 01–06 皆為本研究依上述文件繪製之示意圖（plugin visual-build 產生，文字已轉外框），非公司原圖；本文件未使用公司照片。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color w:val="55606A"/>
          <w:sz w:val="19"/>
        </w:rPr>
        <w:t>非投資建議。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 w:cs="微軟正黑體"/>
      <w:b/>
      <w:bCs/>
      <w:color w:val="0B7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 w:cs="微軟正黑體"/>
      <w:b/>
      <w:bCs/>
      <w:color w:val="0B7A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 w:eastAsia="微軟正黑體" w:cs="微軟正黑體"/>
      <w:color w:val="1F2A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