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C34596" wp14:paraId="108E220B" wp14:textId="65FE4BC1">
      <w:pPr>
        <w:pStyle w:val="Normal"/>
      </w:pPr>
      <w:r w:rsidR="325A5C54">
        <w:drawing>
          <wp:inline xmlns:wp14="http://schemas.microsoft.com/office/word/2010/wordprocessingDrawing" wp14:editId="07C34596" wp14:anchorId="2BE82E57">
            <wp:extent cx="2171700" cy="676275"/>
            <wp:effectExtent l="0" t="0" r="0" b="0"/>
            <wp:docPr id="696984118" name="" descr="EUI - News" title=""/>
            <wp:cNvGraphicFramePr>
              <a:graphicFrameLocks noChangeAspect="1"/>
            </wp:cNvGraphicFramePr>
            <a:graphic>
              <a:graphicData uri="http://schemas.openxmlformats.org/drawingml/2006/picture">
                <pic:pic>
                  <pic:nvPicPr>
                    <pic:cNvPr id="0" name=""/>
                    <pic:cNvPicPr/>
                  </pic:nvPicPr>
                  <pic:blipFill>
                    <a:blip r:embed="Rcf332655e4b04e6f">
                      <a:extLst>
                        <a:ext xmlns:a="http://schemas.openxmlformats.org/drawingml/2006/main" uri="{28A0092B-C50C-407E-A947-70E740481C1C}">
                          <a14:useLocalDpi val="0"/>
                        </a:ext>
                      </a:extLst>
                    </a:blip>
                    <a:stretch>
                      <a:fillRect/>
                    </a:stretch>
                  </pic:blipFill>
                  <pic:spPr>
                    <a:xfrm>
                      <a:off x="0" y="0"/>
                      <a:ext cx="2171700" cy="676275"/>
                    </a:xfrm>
                    <a:prstGeom prst="rect">
                      <a:avLst/>
                    </a:prstGeom>
                  </pic:spPr>
                </pic:pic>
              </a:graphicData>
            </a:graphic>
          </wp:inline>
        </w:drawing>
      </w:r>
    </w:p>
    <w:p xmlns:wp14="http://schemas.microsoft.com/office/word/2010/wordml" w:rsidP="07C34596" wp14:paraId="0FBEC584" wp14:textId="446FBC02">
      <w:pPr>
        <w:spacing w:before="0" w:beforeAutospacing="off" w:after="0" w:afterAutospacing="off"/>
        <w:jc w:val="right"/>
      </w:pPr>
      <w:r w:rsidRPr="07C34596" w:rsidR="325A5C54">
        <w:rPr>
          <w:rFonts w:ascii="Calibri" w:hAnsi="Calibri" w:eastAsia="Calibri" w:cs="Calibri"/>
          <w:b w:val="0"/>
          <w:bCs w:val="0"/>
          <w:i w:val="0"/>
          <w:iCs w:val="0"/>
          <w:strike w:val="0"/>
          <w:dstrike w:val="0"/>
          <w:noProof w:val="0"/>
          <w:color w:val="000000" w:themeColor="text1" w:themeTint="FF" w:themeShade="FF"/>
          <w:sz w:val="28"/>
          <w:szCs w:val="28"/>
          <w:u w:val="none"/>
          <w:lang w:val="en-US"/>
        </w:rPr>
        <w:t>Egypt University of Informatics</w:t>
      </w:r>
    </w:p>
    <w:p xmlns:wp14="http://schemas.microsoft.com/office/word/2010/wordml" w:rsidP="07C34596" wp14:paraId="7CE7BD82" wp14:textId="7119866E">
      <w:pPr>
        <w:spacing w:before="0" w:beforeAutospacing="off" w:after="0" w:afterAutospacing="off"/>
        <w:jc w:val="right"/>
      </w:pPr>
      <w:r w:rsidRPr="07C34596" w:rsidR="325A5C54">
        <w:rPr>
          <w:rFonts w:ascii="Calibri" w:hAnsi="Calibri" w:eastAsia="Calibri" w:cs="Calibri"/>
          <w:b w:val="0"/>
          <w:bCs w:val="0"/>
          <w:i w:val="0"/>
          <w:iCs w:val="0"/>
          <w:strike w:val="0"/>
          <w:dstrike w:val="0"/>
          <w:noProof w:val="0"/>
          <w:color w:val="000000" w:themeColor="text1" w:themeTint="FF" w:themeShade="FF"/>
          <w:sz w:val="28"/>
          <w:szCs w:val="28"/>
          <w:u w:val="none"/>
          <w:lang w:val="en-US"/>
        </w:rPr>
        <w:t>Computer and Information Systems</w:t>
      </w:r>
    </w:p>
    <w:p xmlns:wp14="http://schemas.microsoft.com/office/word/2010/wordml" w:rsidP="07C34596" wp14:paraId="32F679F6" wp14:textId="26A7BFA6">
      <w:pPr>
        <w:spacing w:before="0" w:beforeAutospacing="off" w:after="0" w:afterAutospacing="off"/>
        <w:jc w:val="right"/>
      </w:pPr>
      <w:r w:rsidRPr="07C34596" w:rsidR="325A5C54">
        <w:rPr>
          <w:rFonts w:ascii="Calibri" w:hAnsi="Calibri" w:eastAsia="Calibri" w:cs="Calibri"/>
          <w:b w:val="0"/>
          <w:bCs w:val="0"/>
          <w:i w:val="0"/>
          <w:iCs w:val="0"/>
          <w:strike w:val="0"/>
          <w:dstrike w:val="0"/>
          <w:noProof w:val="0"/>
          <w:color w:val="000000" w:themeColor="text1" w:themeTint="FF" w:themeShade="FF"/>
          <w:sz w:val="28"/>
          <w:szCs w:val="28"/>
          <w:u w:val="none"/>
          <w:lang w:val="en-US"/>
        </w:rPr>
        <w:t>Data Analysis Course</w:t>
      </w:r>
    </w:p>
    <w:p xmlns:wp14="http://schemas.microsoft.com/office/word/2010/wordml" wp14:paraId="2B035561" wp14:textId="3355837E"/>
    <w:p xmlns:wp14="http://schemas.microsoft.com/office/word/2010/wordml" wp14:paraId="05780526" wp14:textId="055B434A"/>
    <w:p xmlns:wp14="http://schemas.microsoft.com/office/word/2010/wordml" wp14:paraId="685A10DF" wp14:textId="6ED5FC08"/>
    <w:p xmlns:wp14="http://schemas.microsoft.com/office/word/2010/wordml" wp14:paraId="2D27788D" wp14:textId="5A0CB5E5"/>
    <w:p xmlns:wp14="http://schemas.microsoft.com/office/word/2010/wordml" wp14:paraId="5B3EC816" wp14:textId="1E85F0A0"/>
    <w:p xmlns:wp14="http://schemas.microsoft.com/office/word/2010/wordml" wp14:paraId="5E4FD173" wp14:textId="45CFD9C4"/>
    <w:p xmlns:wp14="http://schemas.microsoft.com/office/word/2010/wordml" wp14:paraId="6B6651FC" wp14:textId="42BB57F5"/>
    <w:p xmlns:wp14="http://schemas.microsoft.com/office/word/2010/wordml" wp14:paraId="2C020BD9" wp14:textId="263F9512"/>
    <w:p xmlns:wp14="http://schemas.microsoft.com/office/word/2010/wordml" wp14:paraId="58EDB5B5" wp14:textId="65D57F33"/>
    <w:p xmlns:wp14="http://schemas.microsoft.com/office/word/2010/wordml" w:rsidP="07C34596" wp14:paraId="326094D8" wp14:textId="6BF317D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56"/>
          <w:szCs w:val="56"/>
          <w:u w:val="none"/>
          <w:lang w:val="en-US"/>
        </w:rPr>
      </w:pPr>
      <w:r w:rsidRPr="07C34596" w:rsidR="325A5C54">
        <w:rPr>
          <w:rFonts w:ascii="Calibri" w:hAnsi="Calibri" w:eastAsia="Calibri" w:cs="Calibri"/>
          <w:b w:val="0"/>
          <w:bCs w:val="0"/>
          <w:i w:val="0"/>
          <w:iCs w:val="0"/>
          <w:strike w:val="0"/>
          <w:dstrike w:val="0"/>
          <w:noProof w:val="0"/>
          <w:color w:val="000000" w:themeColor="text1" w:themeTint="FF" w:themeShade="FF"/>
          <w:sz w:val="56"/>
          <w:szCs w:val="56"/>
          <w:u w:val="none"/>
          <w:lang w:val="en-US"/>
        </w:rPr>
        <w:t xml:space="preserve">The </w:t>
      </w:r>
      <w:r w:rsidRPr="07C34596" w:rsidR="57E6AFA7">
        <w:rPr>
          <w:rFonts w:ascii="Calibri" w:hAnsi="Calibri" w:eastAsia="Calibri" w:cs="Calibri"/>
          <w:b w:val="0"/>
          <w:bCs w:val="0"/>
          <w:i w:val="0"/>
          <w:iCs w:val="0"/>
          <w:strike w:val="0"/>
          <w:dstrike w:val="0"/>
          <w:noProof w:val="0"/>
          <w:color w:val="000000" w:themeColor="text1" w:themeTint="FF" w:themeShade="FF"/>
          <w:sz w:val="56"/>
          <w:szCs w:val="56"/>
          <w:u w:val="none"/>
          <w:lang w:val="en-US"/>
        </w:rPr>
        <w:t>Ongoing Boycott versus Starbucks Stocks</w:t>
      </w:r>
    </w:p>
    <w:p xmlns:wp14="http://schemas.microsoft.com/office/word/2010/wordml" w:rsidP="07C34596" wp14:paraId="27F72CCD" wp14:textId="76539A88">
      <w:pPr>
        <w:spacing w:before="0" w:beforeAutospacing="off" w:after="0" w:afterAutospacing="on"/>
        <w:ind w:right="-432"/>
        <w:rPr>
          <w:rFonts w:ascii="Calibri" w:hAnsi="Calibri" w:eastAsia="Calibri" w:cs="Calibri"/>
          <w:b w:val="0"/>
          <w:bCs w:val="0"/>
          <w:i w:val="0"/>
          <w:iCs w:val="0"/>
          <w:strike w:val="0"/>
          <w:dstrike w:val="0"/>
          <w:noProof w:val="0"/>
          <w:color w:val="5A5A5A"/>
          <w:sz w:val="22"/>
          <w:szCs w:val="22"/>
          <w:u w:val="none"/>
          <w:lang w:val="en-US"/>
        </w:rPr>
      </w:pPr>
      <w:r w:rsidRPr="07C34596" w:rsidR="325A5C54">
        <w:rPr>
          <w:rFonts w:ascii="Calibri" w:hAnsi="Calibri" w:eastAsia="Calibri" w:cs="Calibri"/>
          <w:b w:val="0"/>
          <w:bCs w:val="0"/>
          <w:i w:val="0"/>
          <w:iCs w:val="0"/>
          <w:strike w:val="0"/>
          <w:dstrike w:val="0"/>
          <w:noProof w:val="0"/>
          <w:color w:val="5A5A5A"/>
          <w:sz w:val="22"/>
          <w:szCs w:val="22"/>
          <w:u w:val="none"/>
          <w:lang w:val="en-US"/>
        </w:rPr>
        <w:t>Submitted by:</w:t>
      </w:r>
    </w:p>
    <w:p xmlns:wp14="http://schemas.microsoft.com/office/word/2010/wordml" w:rsidP="07C34596" wp14:paraId="23E799E2" wp14:textId="76C091DA">
      <w:pPr>
        <w:pStyle w:val="Normal"/>
        <w:spacing w:before="0" w:beforeAutospacing="off" w:after="0" w:afterAutospacing="on"/>
        <w:ind w:left="1440" w:right="-432"/>
        <w:rPr>
          <w:rFonts w:ascii="Calibri" w:hAnsi="Calibri" w:eastAsia="Calibri" w:cs="Calibri"/>
          <w:b w:val="0"/>
          <w:bCs w:val="0"/>
          <w:i w:val="0"/>
          <w:iCs w:val="0"/>
          <w:strike w:val="0"/>
          <w:dstrike w:val="0"/>
          <w:noProof w:val="0"/>
          <w:color w:val="5A5A5A"/>
          <w:sz w:val="22"/>
          <w:szCs w:val="22"/>
          <w:u w:val="none"/>
          <w:lang w:val="en-US"/>
        </w:rPr>
      </w:pPr>
      <w:r w:rsidRPr="07C34596" w:rsidR="4B6D59D9">
        <w:rPr>
          <w:rFonts w:ascii="Calibri" w:hAnsi="Calibri" w:eastAsia="Calibri" w:cs="Calibri"/>
          <w:b w:val="0"/>
          <w:bCs w:val="0"/>
          <w:i w:val="0"/>
          <w:iCs w:val="0"/>
          <w:strike w:val="0"/>
          <w:dstrike w:val="0"/>
          <w:noProof w:val="0"/>
          <w:color w:val="5A5A5A"/>
          <w:sz w:val="22"/>
          <w:szCs w:val="22"/>
          <w:u w:val="none"/>
          <w:lang w:val="en-US"/>
        </w:rPr>
        <w:t>Laila Khaled 22-101078</w:t>
      </w:r>
    </w:p>
    <w:p xmlns:wp14="http://schemas.microsoft.com/office/word/2010/wordml" w:rsidP="07C34596" wp14:paraId="03D87B97" wp14:textId="4FC16147">
      <w:pPr>
        <w:pStyle w:val="Normal"/>
        <w:spacing w:before="0" w:beforeAutospacing="off" w:after="0" w:afterAutospacing="on"/>
        <w:ind w:left="1440" w:right="-432"/>
        <w:rPr>
          <w:rFonts w:ascii="Calibri" w:hAnsi="Calibri" w:eastAsia="Calibri" w:cs="Calibri"/>
          <w:b w:val="0"/>
          <w:bCs w:val="0"/>
          <w:i w:val="0"/>
          <w:iCs w:val="0"/>
          <w:strike w:val="0"/>
          <w:dstrike w:val="0"/>
          <w:noProof w:val="0"/>
          <w:color w:val="5A5A5A"/>
          <w:sz w:val="22"/>
          <w:szCs w:val="22"/>
          <w:u w:val="none"/>
          <w:lang w:val="en-US"/>
        </w:rPr>
      </w:pPr>
      <w:r w:rsidRPr="07C34596" w:rsidR="4B6D59D9">
        <w:rPr>
          <w:rFonts w:ascii="Calibri" w:hAnsi="Calibri" w:eastAsia="Calibri" w:cs="Calibri"/>
          <w:b w:val="0"/>
          <w:bCs w:val="0"/>
          <w:i w:val="0"/>
          <w:iCs w:val="0"/>
          <w:strike w:val="0"/>
          <w:dstrike w:val="0"/>
          <w:noProof w:val="0"/>
          <w:color w:val="5A5A5A"/>
          <w:sz w:val="22"/>
          <w:szCs w:val="22"/>
          <w:u w:val="none"/>
          <w:lang w:val="en-US"/>
        </w:rPr>
        <w:t>Nour Hany 22-101068</w:t>
      </w:r>
    </w:p>
    <w:p xmlns:wp14="http://schemas.microsoft.com/office/word/2010/wordml" w:rsidP="07C34596" wp14:paraId="4848BE13" wp14:textId="4925E971">
      <w:pPr>
        <w:pStyle w:val="Normal"/>
        <w:spacing w:before="0" w:beforeAutospacing="off" w:after="0" w:afterAutospacing="on"/>
        <w:ind w:left="1440" w:right="-432"/>
        <w:rPr>
          <w:rFonts w:ascii="Calibri" w:hAnsi="Calibri" w:eastAsia="Calibri" w:cs="Calibri"/>
          <w:b w:val="0"/>
          <w:bCs w:val="0"/>
          <w:i w:val="0"/>
          <w:iCs w:val="0"/>
          <w:strike w:val="0"/>
          <w:dstrike w:val="0"/>
          <w:noProof w:val="0"/>
          <w:color w:val="5A5A5A"/>
          <w:sz w:val="22"/>
          <w:szCs w:val="22"/>
          <w:u w:val="none"/>
          <w:lang w:val="en-US"/>
        </w:rPr>
      </w:pPr>
      <w:r w:rsidRPr="07C34596" w:rsidR="4B6D59D9">
        <w:rPr>
          <w:rFonts w:ascii="Calibri" w:hAnsi="Calibri" w:eastAsia="Calibri" w:cs="Calibri"/>
          <w:b w:val="0"/>
          <w:bCs w:val="0"/>
          <w:i w:val="0"/>
          <w:iCs w:val="0"/>
          <w:strike w:val="0"/>
          <w:dstrike w:val="0"/>
          <w:noProof w:val="0"/>
          <w:color w:val="5A5A5A"/>
          <w:sz w:val="22"/>
          <w:szCs w:val="22"/>
          <w:u w:val="none"/>
          <w:lang w:val="en-US"/>
        </w:rPr>
        <w:t>Ahmed Sameh 22-101198</w:t>
      </w:r>
    </w:p>
    <w:p xmlns:wp14="http://schemas.microsoft.com/office/word/2010/wordml" w:rsidP="07C34596" wp14:paraId="1E90D509" wp14:textId="40FC7CDE">
      <w:pPr>
        <w:pStyle w:val="Normal"/>
        <w:spacing w:before="0" w:beforeAutospacing="off" w:after="0" w:afterAutospacing="on"/>
        <w:ind w:left="1440" w:right="-432"/>
        <w:rPr>
          <w:rFonts w:ascii="Calibri" w:hAnsi="Calibri" w:eastAsia="Calibri" w:cs="Calibri"/>
          <w:b w:val="0"/>
          <w:bCs w:val="0"/>
          <w:i w:val="0"/>
          <w:iCs w:val="0"/>
          <w:strike w:val="0"/>
          <w:dstrike w:val="0"/>
          <w:noProof w:val="0"/>
          <w:color w:val="5A5A5A"/>
          <w:sz w:val="22"/>
          <w:szCs w:val="22"/>
          <w:u w:val="none"/>
          <w:lang w:val="en-US"/>
        </w:rPr>
      </w:pPr>
      <w:r w:rsidRPr="07C34596" w:rsidR="4B6D59D9">
        <w:rPr>
          <w:rFonts w:ascii="Calibri" w:hAnsi="Calibri" w:eastAsia="Calibri" w:cs="Calibri"/>
          <w:b w:val="0"/>
          <w:bCs w:val="0"/>
          <w:i w:val="0"/>
          <w:iCs w:val="0"/>
          <w:strike w:val="0"/>
          <w:dstrike w:val="0"/>
          <w:noProof w:val="0"/>
          <w:color w:val="5A5A5A"/>
          <w:sz w:val="22"/>
          <w:szCs w:val="22"/>
          <w:u w:val="none"/>
          <w:lang w:val="en-US"/>
        </w:rPr>
        <w:t>Yasmine</w:t>
      </w:r>
      <w:r w:rsidRPr="07C34596" w:rsidR="33D2B010">
        <w:rPr>
          <w:rFonts w:ascii="Calibri" w:hAnsi="Calibri" w:eastAsia="Calibri" w:cs="Calibri"/>
          <w:b w:val="0"/>
          <w:bCs w:val="0"/>
          <w:i w:val="0"/>
          <w:iCs w:val="0"/>
          <w:strike w:val="0"/>
          <w:dstrike w:val="0"/>
          <w:noProof w:val="0"/>
          <w:color w:val="5A5A5A"/>
          <w:sz w:val="22"/>
          <w:szCs w:val="22"/>
          <w:u w:val="none"/>
          <w:lang w:val="en-US"/>
        </w:rPr>
        <w:t xml:space="preserve"> Mohammed 22-101174</w:t>
      </w:r>
    </w:p>
    <w:p xmlns:wp14="http://schemas.microsoft.com/office/word/2010/wordml" w:rsidP="07C34596" wp14:paraId="61C48BD7" wp14:textId="0F2484CF">
      <w:pPr>
        <w:pStyle w:val="Normal"/>
        <w:spacing w:before="0" w:beforeAutospacing="off" w:after="0" w:afterAutospacing="on"/>
        <w:ind w:left="1440" w:right="-432"/>
        <w:rPr>
          <w:rFonts w:ascii="Calibri" w:hAnsi="Calibri" w:eastAsia="Calibri" w:cs="Calibri"/>
          <w:b w:val="0"/>
          <w:bCs w:val="0"/>
          <w:i w:val="0"/>
          <w:iCs w:val="0"/>
          <w:strike w:val="0"/>
          <w:dstrike w:val="0"/>
          <w:noProof w:val="0"/>
          <w:color w:val="5A5A5A"/>
          <w:sz w:val="22"/>
          <w:szCs w:val="22"/>
          <w:u w:val="none"/>
          <w:lang w:val="en-US"/>
        </w:rPr>
      </w:pPr>
      <w:r w:rsidRPr="07C34596" w:rsidR="4B6D59D9">
        <w:rPr>
          <w:rFonts w:ascii="Calibri" w:hAnsi="Calibri" w:eastAsia="Calibri" w:cs="Calibri"/>
          <w:b w:val="0"/>
          <w:bCs w:val="0"/>
          <w:i w:val="0"/>
          <w:iCs w:val="0"/>
          <w:strike w:val="0"/>
          <w:dstrike w:val="0"/>
          <w:noProof w:val="0"/>
          <w:color w:val="5A5A5A"/>
          <w:sz w:val="22"/>
          <w:szCs w:val="22"/>
          <w:u w:val="none"/>
          <w:lang w:val="en-US"/>
        </w:rPr>
        <w:t>Dana Sherin</w:t>
      </w:r>
      <w:r w:rsidRPr="07C34596" w:rsidR="5FF88A15">
        <w:rPr>
          <w:rFonts w:ascii="Calibri" w:hAnsi="Calibri" w:eastAsia="Calibri" w:cs="Calibri"/>
          <w:b w:val="0"/>
          <w:bCs w:val="0"/>
          <w:i w:val="0"/>
          <w:iCs w:val="0"/>
          <w:strike w:val="0"/>
          <w:dstrike w:val="0"/>
          <w:noProof w:val="0"/>
          <w:color w:val="5A5A5A"/>
          <w:sz w:val="22"/>
          <w:szCs w:val="22"/>
          <w:u w:val="none"/>
          <w:lang w:val="en-US"/>
        </w:rPr>
        <w:t xml:space="preserve"> 22-101253</w:t>
      </w:r>
    </w:p>
    <w:p xmlns:wp14="http://schemas.microsoft.com/office/word/2010/wordml" w:rsidP="07C34596" wp14:paraId="16405D29" wp14:textId="0C6017D4">
      <w:pPr>
        <w:pStyle w:val="Normal"/>
        <w:spacing w:before="0" w:beforeAutospacing="off" w:after="0" w:afterAutospacing="on"/>
        <w:ind w:left="1440" w:right="-432"/>
        <w:rPr>
          <w:rFonts w:ascii="Calibri" w:hAnsi="Calibri" w:eastAsia="Calibri" w:cs="Calibri"/>
          <w:b w:val="0"/>
          <w:bCs w:val="0"/>
          <w:i w:val="0"/>
          <w:iCs w:val="0"/>
          <w:strike w:val="0"/>
          <w:dstrike w:val="0"/>
          <w:noProof w:val="0"/>
          <w:color w:val="5A5A5A"/>
          <w:sz w:val="22"/>
          <w:szCs w:val="22"/>
          <w:u w:val="none"/>
          <w:lang w:val="en-US"/>
        </w:rPr>
      </w:pPr>
    </w:p>
    <w:p xmlns:wp14="http://schemas.microsoft.com/office/word/2010/wordml" w:rsidP="07C34596" wp14:paraId="2C920121" wp14:textId="32BD418E">
      <w:pPr>
        <w:spacing w:before="0" w:beforeAutospacing="off" w:after="160" w:afterAutospacing="off"/>
        <w:rPr>
          <w:rFonts w:ascii="Calibri" w:hAnsi="Calibri" w:eastAsia="Calibri" w:cs="Calibri"/>
          <w:b w:val="0"/>
          <w:bCs w:val="0"/>
          <w:i w:val="0"/>
          <w:iCs w:val="0"/>
          <w:strike w:val="0"/>
          <w:dstrike w:val="0"/>
          <w:noProof w:val="0"/>
          <w:color w:val="5A5A5A"/>
          <w:sz w:val="22"/>
          <w:szCs w:val="22"/>
          <w:u w:val="none"/>
          <w:lang w:val="en-US"/>
        </w:rPr>
      </w:pPr>
      <w:r w:rsidRPr="07C34596" w:rsidR="5FF88A15">
        <w:rPr>
          <w:rFonts w:ascii="Calibri" w:hAnsi="Calibri" w:eastAsia="Calibri" w:cs="Calibri"/>
          <w:b w:val="0"/>
          <w:bCs w:val="0"/>
          <w:i w:val="0"/>
          <w:iCs w:val="0"/>
          <w:strike w:val="0"/>
          <w:dstrike w:val="0"/>
          <w:noProof w:val="0"/>
          <w:color w:val="5A5A5A"/>
          <w:sz w:val="22"/>
          <w:szCs w:val="22"/>
          <w:u w:val="none"/>
          <w:lang w:val="en-US"/>
        </w:rPr>
        <w:t>25</w:t>
      </w:r>
      <w:r w:rsidRPr="07C34596" w:rsidR="325A5C54">
        <w:rPr>
          <w:rFonts w:ascii="Calibri" w:hAnsi="Calibri" w:eastAsia="Calibri" w:cs="Calibri"/>
          <w:b w:val="0"/>
          <w:bCs w:val="0"/>
          <w:i w:val="0"/>
          <w:iCs w:val="0"/>
          <w:strike w:val="0"/>
          <w:dstrike w:val="0"/>
          <w:noProof w:val="0"/>
          <w:color w:val="5A5A5A"/>
          <w:sz w:val="22"/>
          <w:szCs w:val="22"/>
          <w:u w:val="none"/>
          <w:lang w:val="en-US"/>
        </w:rPr>
        <w:t>/5/2024</w:t>
      </w:r>
    </w:p>
    <w:p xmlns:wp14="http://schemas.microsoft.com/office/word/2010/wordml" wp14:paraId="6FD4CE31" wp14:textId="23DC1042">
      <w:r>
        <w:br w:type="page"/>
      </w:r>
    </w:p>
    <w:p xmlns:wp14="http://schemas.microsoft.com/office/word/2010/wordml" w:rsidP="07C34596" wp14:paraId="704A7289" wp14:textId="21D6763B">
      <w:pPr>
        <w:pStyle w:val="Normal"/>
        <w:spacing w:before="0" w:beforeAutospacing="off" w:after="160" w:afterAutospacing="off"/>
        <w:rPr>
          <w:rFonts w:ascii="Calibri" w:hAnsi="Calibri" w:eastAsia="Calibri" w:cs="Calibri"/>
          <w:b w:val="0"/>
          <w:bCs w:val="0"/>
          <w:i w:val="0"/>
          <w:iCs w:val="0"/>
          <w:strike w:val="0"/>
          <w:dstrike w:val="0"/>
          <w:noProof w:val="0"/>
          <w:color w:val="5A5A5A"/>
          <w:sz w:val="22"/>
          <w:szCs w:val="22"/>
          <w:u w:val="none"/>
          <w:lang w:val="en-US"/>
        </w:rPr>
      </w:pPr>
    </w:p>
    <w:p xmlns:wp14="http://schemas.microsoft.com/office/word/2010/wordml" w:rsidP="07C34596" wp14:paraId="4150A8E9" wp14:textId="341C78DD">
      <w:pPr>
        <w:pStyle w:val="Heading1"/>
        <w:spacing w:before="240" w:beforeAutospacing="off" w:after="0" w:afterAutospacing="off"/>
      </w:pPr>
      <w:r w:rsidRPr="07C34596" w:rsidR="325A5C54">
        <w:rPr>
          <w:rFonts w:ascii="Calibri" w:hAnsi="Calibri" w:eastAsia="Calibri" w:cs="Calibri"/>
          <w:b w:val="0"/>
          <w:bCs w:val="0"/>
          <w:i w:val="0"/>
          <w:iCs w:val="0"/>
          <w:strike w:val="0"/>
          <w:dstrike w:val="0"/>
          <w:noProof w:val="0"/>
          <w:color w:val="2F5496"/>
          <w:sz w:val="32"/>
          <w:szCs w:val="32"/>
          <w:u w:val="none"/>
          <w:lang w:val="en-US"/>
        </w:rPr>
        <w:t>Introduction</w:t>
      </w:r>
    </w:p>
    <w:p xmlns:wp14="http://schemas.microsoft.com/office/word/2010/wordml" w:rsidP="07C34596" wp14:paraId="76E04334" wp14:textId="0F66F14E">
      <w:pPr>
        <w:pStyle w:val="Normal"/>
        <w:rPr>
          <w:noProof w:val="0"/>
          <w:lang w:val="en-US"/>
        </w:rPr>
      </w:pPr>
    </w:p>
    <w:p xmlns:wp14="http://schemas.microsoft.com/office/word/2010/wordml" w:rsidP="07C34596" wp14:paraId="58F9E45C" wp14:textId="504720E7">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160ECA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Global markets are increasingly influenced by political and social trends, </w:t>
      </w:r>
      <w:r w:rsidRPr="07C34596" w:rsidR="160ECA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impacting</w:t>
      </w:r>
      <w:r w:rsidRPr="07C34596" w:rsidR="160ECA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companies like Starbucks.</w:t>
      </w:r>
      <w:r w:rsidRPr="07C34596" w:rsidR="160ECA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Ongoing boycotts, social movements, and the effects of the COVID-19 pandemic present both challenges and opportunities for the company.</w:t>
      </w:r>
    </w:p>
    <w:p xmlns:wp14="http://schemas.microsoft.com/office/word/2010/wordml" w:rsidP="07C34596" wp14:paraId="4EDFE429" wp14:textId="7ED68909">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77C17E5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Whether </w:t>
      </w:r>
      <w:r w:rsidRPr="07C34596" w:rsidR="77C17E5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you're</w:t>
      </w:r>
      <w:r w:rsidRPr="07C34596" w:rsidR="77C17E5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 investor, market analyst, or curious about the business landscape,</w:t>
      </w:r>
      <w:r w:rsidRPr="07C34596" w:rsidR="160ECA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7C34596" w:rsidR="7A9309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w:t>
      </w:r>
      <w:r w:rsidRPr="07C34596" w:rsidR="160ECA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his analysis provides insights into key trends shaping Starbucks' market performance, aiding strategic decision-making.</w:t>
      </w:r>
    </w:p>
    <w:p xmlns:wp14="http://schemas.microsoft.com/office/word/2010/wordml" w:rsidP="07C34596" wp14:paraId="1C0B33DE" wp14:textId="04E973C2">
      <w:pPr>
        <w:pStyle w:val="Heading1"/>
        <w:rPr>
          <w:rFonts w:ascii="Times New Roman" w:hAnsi="Times New Roman" w:eastAsia="Times New Roman" w:cs="Times New Roman"/>
          <w:b w:val="0"/>
          <w:bCs w:val="0"/>
          <w:i w:val="0"/>
          <w:iCs w:val="0"/>
          <w:strike w:val="0"/>
          <w:dstrike w:val="0"/>
          <w:noProof w:val="0"/>
          <w:color w:val="2F5496"/>
          <w:sz w:val="32"/>
          <w:szCs w:val="32"/>
          <w:u w:val="none"/>
          <w:lang w:val="en-US"/>
        </w:rPr>
      </w:pPr>
      <w:r w:rsidRPr="07C34596" w:rsidR="325A5C54">
        <w:rPr>
          <w:rFonts w:ascii="Calibri" w:hAnsi="Calibri" w:eastAsia="Calibri" w:cs="Calibri"/>
          <w:b w:val="0"/>
          <w:bCs w:val="0"/>
          <w:i w:val="0"/>
          <w:iCs w:val="0"/>
          <w:strike w:val="0"/>
          <w:dstrike w:val="0"/>
          <w:noProof w:val="0"/>
          <w:color w:val="2F5496"/>
          <w:sz w:val="32"/>
          <w:szCs w:val="32"/>
          <w:u w:val="none"/>
          <w:lang w:val="en-US"/>
        </w:rPr>
        <w:t xml:space="preserve">Research Question </w:t>
      </w:r>
    </w:p>
    <w:p xmlns:wp14="http://schemas.microsoft.com/office/word/2010/wordml" w:rsidP="07C34596" wp14:paraId="6068504D" wp14:textId="5B45B458">
      <w:pPr>
        <w:pStyle w:val="ListParagraph"/>
        <w:numPr>
          <w:ilvl w:val="0"/>
          <w:numId w:val="3"/>
        </w:numPr>
        <w:spacing w:after="280" w:afterAutospacing="off"/>
        <w:rPr>
          <w:rFonts w:ascii="Times New Roman" w:hAnsi="Times New Roman" w:eastAsia="Times New Roman" w:cs="Times New Roman"/>
          <w:noProof w:val="0"/>
          <w:sz w:val="24"/>
          <w:szCs w:val="24"/>
          <w:lang w:val="en-US"/>
        </w:rPr>
      </w:pPr>
      <w:r w:rsidRPr="07C34596" w:rsidR="3B3CA06C">
        <w:rPr>
          <w:rFonts w:ascii="Times New Roman" w:hAnsi="Times New Roman" w:eastAsia="Times New Roman" w:cs="Times New Roman"/>
          <w:noProof w:val="0"/>
          <w:sz w:val="24"/>
          <w:szCs w:val="24"/>
          <w:lang w:val="en-US"/>
        </w:rPr>
        <w:t>Research Question 1: Did the boycott have a significant impact on Starbucks' closing stock prices?</w:t>
      </w:r>
    </w:p>
    <w:p xmlns:wp14="http://schemas.microsoft.com/office/word/2010/wordml" w:rsidP="07C34596" wp14:paraId="05F4D009" wp14:textId="7094B87F">
      <w:pPr>
        <w:pStyle w:val="ListParagraph"/>
        <w:numPr>
          <w:ilvl w:val="0"/>
          <w:numId w:val="3"/>
        </w:numPr>
        <w:spacing w:after="280" w:afterAutospacing="off"/>
        <w:rPr>
          <w:rFonts w:ascii="Times New Roman" w:hAnsi="Times New Roman" w:eastAsia="Times New Roman" w:cs="Times New Roman"/>
          <w:noProof w:val="0"/>
          <w:lang w:val="en-US"/>
        </w:rPr>
      </w:pPr>
      <w:r w:rsidRPr="07C34596" w:rsidR="3B3CA06C">
        <w:rPr>
          <w:rFonts w:ascii="Times New Roman" w:hAnsi="Times New Roman" w:eastAsia="Times New Roman" w:cs="Times New Roman"/>
          <w:noProof w:val="0"/>
          <w:lang w:val="en-US"/>
        </w:rPr>
        <w:t>Research Question 2: Did the boycott have a significant impact on Starbucks' trading volume?</w:t>
      </w:r>
    </w:p>
    <w:p xmlns:wp14="http://schemas.microsoft.com/office/word/2010/wordml" w:rsidP="07C34596" wp14:paraId="0FE5AB5D" wp14:textId="04C16FF4">
      <w:pPr>
        <w:pStyle w:val="Heading1"/>
        <w:spacing w:before="240" w:beforeAutospacing="off" w:after="0" w:afterAutospacing="off"/>
      </w:pPr>
      <w:r w:rsidRPr="07C34596" w:rsidR="325A5C54">
        <w:rPr>
          <w:rFonts w:ascii="Calibri" w:hAnsi="Calibri" w:eastAsia="Calibri" w:cs="Calibri"/>
          <w:b w:val="0"/>
          <w:bCs w:val="0"/>
          <w:i w:val="0"/>
          <w:iCs w:val="0"/>
          <w:strike w:val="0"/>
          <w:dstrike w:val="0"/>
          <w:noProof w:val="0"/>
          <w:color w:val="2F5496"/>
          <w:sz w:val="32"/>
          <w:szCs w:val="32"/>
          <w:u w:val="none"/>
          <w:lang w:val="en-US"/>
        </w:rPr>
        <w:t>Hypothesis</w:t>
      </w:r>
    </w:p>
    <w:p xmlns:wp14="http://schemas.microsoft.com/office/word/2010/wordml" w:rsidP="07C34596" wp14:paraId="20ABBD10" wp14:textId="7C8F5F1A">
      <w:pPr>
        <w:pStyle w:val="Normal"/>
        <w:rPr>
          <w:rFonts w:ascii="Times New Roman" w:hAnsi="Times New Roman" w:eastAsia="Times New Roman" w:cs="Times New Roman"/>
          <w:noProof w:val="0"/>
          <w:lang w:val="en-US"/>
        </w:rPr>
      </w:pPr>
      <w:r w:rsidRPr="07C34596" w:rsidR="631F4A4A">
        <w:rPr>
          <w:rFonts w:ascii="Times New Roman" w:hAnsi="Times New Roman" w:eastAsia="Times New Roman" w:cs="Times New Roman"/>
          <w:noProof w:val="0"/>
          <w:u w:val="single"/>
          <w:lang w:val="en-US"/>
        </w:rPr>
        <w:t>Null Hypothesis 1:</w:t>
      </w:r>
      <w:r w:rsidRPr="07C34596" w:rsidR="631F4A4A">
        <w:rPr>
          <w:rFonts w:ascii="Times New Roman" w:hAnsi="Times New Roman" w:eastAsia="Times New Roman" w:cs="Times New Roman"/>
          <w:noProof w:val="0"/>
          <w:lang w:val="en-US"/>
        </w:rPr>
        <w:t xml:space="preserve"> </w:t>
      </w:r>
    </w:p>
    <w:p xmlns:wp14="http://schemas.microsoft.com/office/word/2010/wordml" w:rsidP="07C34596" wp14:paraId="4F35B88F" wp14:textId="010D3C3B">
      <w:pPr>
        <w:pStyle w:val="Normal"/>
        <w:ind w:left="720" w:firstLine="720"/>
        <w:rPr>
          <w:rFonts w:ascii="Times New Roman" w:hAnsi="Times New Roman" w:eastAsia="Times New Roman" w:cs="Times New Roman"/>
          <w:noProof w:val="0"/>
          <w:sz w:val="24"/>
          <w:szCs w:val="24"/>
          <w:lang w:val="en-US"/>
        </w:rPr>
      </w:pPr>
      <w:r w:rsidRPr="07C34596" w:rsidR="321119C1">
        <w:rPr>
          <w:rFonts w:ascii="Times New Roman" w:hAnsi="Times New Roman" w:eastAsia="Times New Roman" w:cs="Times New Roman"/>
          <w:noProof w:val="0"/>
          <w:sz w:val="24"/>
          <w:szCs w:val="24"/>
          <w:lang w:val="en-US"/>
        </w:rPr>
        <w:t xml:space="preserve">There is no </w:t>
      </w:r>
      <w:r w:rsidRPr="07C34596" w:rsidR="1AECC746">
        <w:rPr>
          <w:rFonts w:ascii="Times New Roman" w:hAnsi="Times New Roman" w:eastAsia="Times New Roman" w:cs="Times New Roman"/>
          <w:noProof w:val="0"/>
          <w:sz w:val="24"/>
          <w:szCs w:val="24"/>
          <w:lang w:val="en-US"/>
        </w:rPr>
        <w:t xml:space="preserve">difference between </w:t>
      </w:r>
      <w:r w:rsidRPr="07C34596" w:rsidR="321119C1">
        <w:rPr>
          <w:rFonts w:ascii="Times New Roman" w:hAnsi="Times New Roman" w:eastAsia="Times New Roman" w:cs="Times New Roman"/>
          <w:noProof w:val="0"/>
          <w:sz w:val="24"/>
          <w:szCs w:val="24"/>
          <w:lang w:val="en-US"/>
        </w:rPr>
        <w:t xml:space="preserve">the means of </w:t>
      </w:r>
      <w:r w:rsidRPr="07C34596" w:rsidR="5A976644">
        <w:rPr>
          <w:rFonts w:ascii="Times New Roman" w:hAnsi="Times New Roman" w:eastAsia="Times New Roman" w:cs="Times New Roman"/>
          <w:noProof w:val="0"/>
          <w:sz w:val="24"/>
          <w:szCs w:val="24"/>
          <w:lang w:val="en-US"/>
        </w:rPr>
        <w:t>clo</w:t>
      </w:r>
      <w:r w:rsidRPr="07C34596" w:rsidR="45D97372">
        <w:rPr>
          <w:rFonts w:ascii="Times New Roman" w:hAnsi="Times New Roman" w:eastAsia="Times New Roman" w:cs="Times New Roman"/>
          <w:noProof w:val="0"/>
          <w:sz w:val="24"/>
          <w:szCs w:val="24"/>
          <w:lang w:val="en-US"/>
        </w:rPr>
        <w:t xml:space="preserve">se </w:t>
      </w:r>
      <w:r w:rsidRPr="07C34596" w:rsidR="5A976644">
        <w:rPr>
          <w:rFonts w:ascii="Times New Roman" w:hAnsi="Times New Roman" w:eastAsia="Times New Roman" w:cs="Times New Roman"/>
          <w:noProof w:val="0"/>
          <w:sz w:val="24"/>
          <w:szCs w:val="24"/>
          <w:lang w:val="en-US"/>
        </w:rPr>
        <w:t>prices</w:t>
      </w:r>
      <w:r w:rsidRPr="07C34596" w:rsidR="321119C1">
        <w:rPr>
          <w:rFonts w:ascii="Times New Roman" w:hAnsi="Times New Roman" w:eastAsia="Times New Roman" w:cs="Times New Roman"/>
          <w:noProof w:val="0"/>
          <w:sz w:val="24"/>
          <w:szCs w:val="24"/>
          <w:lang w:val="en-US"/>
        </w:rPr>
        <w:t xml:space="preserve"> </w:t>
      </w:r>
      <w:r w:rsidRPr="07C34596" w:rsidR="778AE003">
        <w:rPr>
          <w:rFonts w:ascii="Times New Roman" w:hAnsi="Times New Roman" w:eastAsia="Times New Roman" w:cs="Times New Roman"/>
          <w:noProof w:val="0"/>
          <w:sz w:val="24"/>
          <w:szCs w:val="24"/>
          <w:lang w:val="en-US"/>
        </w:rPr>
        <w:t>of</w:t>
      </w:r>
      <w:r w:rsidRPr="07C34596" w:rsidR="321119C1">
        <w:rPr>
          <w:rFonts w:ascii="Times New Roman" w:hAnsi="Times New Roman" w:eastAsia="Times New Roman" w:cs="Times New Roman"/>
          <w:noProof w:val="0"/>
          <w:sz w:val="24"/>
          <w:szCs w:val="24"/>
          <w:lang w:val="en-US"/>
        </w:rPr>
        <w:t xml:space="preserve"> October 2022 to May 2023 and October 2023 to May 2024</w:t>
      </w:r>
    </w:p>
    <w:p xmlns:wp14="http://schemas.microsoft.com/office/word/2010/wordml" w:rsidP="07C34596" wp14:paraId="60CEC670" wp14:textId="782B5D05">
      <w:pPr>
        <w:pStyle w:val="Normal"/>
        <w:ind w:firstLine="720"/>
        <w:rPr>
          <w:rFonts w:ascii="Times New Roman" w:hAnsi="Times New Roman" w:eastAsia="Times New Roman" w:cs="Times New Roman"/>
          <w:noProof w:val="0"/>
          <w:u w:val="none"/>
          <w:lang w:val="en-US"/>
        </w:rPr>
      </w:pPr>
      <w:r w:rsidRPr="07C34596" w:rsidR="631F4A4A">
        <w:rPr>
          <w:rFonts w:ascii="Times New Roman" w:hAnsi="Times New Roman" w:eastAsia="Times New Roman" w:cs="Times New Roman"/>
          <w:noProof w:val="0"/>
          <w:u w:val="single"/>
          <w:lang w:val="en-US"/>
        </w:rPr>
        <w:t>Alternative Hypothesis 1:</w:t>
      </w:r>
      <w:r w:rsidRPr="07C34596" w:rsidR="21A16D8A">
        <w:rPr>
          <w:rFonts w:ascii="Times New Roman" w:hAnsi="Times New Roman" w:eastAsia="Times New Roman" w:cs="Times New Roman"/>
          <w:noProof w:val="0"/>
          <w:u w:val="none"/>
          <w:lang w:val="en-US"/>
        </w:rPr>
        <w:t xml:space="preserve"> </w:t>
      </w:r>
    </w:p>
    <w:p xmlns:wp14="http://schemas.microsoft.com/office/word/2010/wordml" w:rsidP="07C34596" wp14:paraId="01CB37CC" wp14:textId="2F5D4708">
      <w:pPr>
        <w:pStyle w:val="Normal"/>
        <w:ind w:left="720" w:firstLine="720"/>
        <w:rPr>
          <w:rFonts w:ascii="Times New Roman" w:hAnsi="Times New Roman" w:eastAsia="Times New Roman" w:cs="Times New Roman"/>
          <w:noProof w:val="0"/>
          <w:sz w:val="24"/>
          <w:szCs w:val="24"/>
          <w:lang w:val="en-US"/>
        </w:rPr>
      </w:pPr>
      <w:r w:rsidRPr="07C34596" w:rsidR="4478405B">
        <w:rPr>
          <w:rFonts w:ascii="Times New Roman" w:hAnsi="Times New Roman" w:eastAsia="Times New Roman" w:cs="Times New Roman"/>
          <w:noProof w:val="0"/>
          <w:sz w:val="24"/>
          <w:szCs w:val="24"/>
          <w:lang w:val="en-US"/>
        </w:rPr>
        <w:t xml:space="preserve">The average </w:t>
      </w:r>
      <w:r w:rsidRPr="07C34596" w:rsidR="3674AAC5">
        <w:rPr>
          <w:rFonts w:ascii="Times New Roman" w:hAnsi="Times New Roman" w:eastAsia="Times New Roman" w:cs="Times New Roman"/>
          <w:noProof w:val="0"/>
          <w:sz w:val="24"/>
          <w:szCs w:val="24"/>
          <w:lang w:val="en-US"/>
        </w:rPr>
        <w:t>cl</w:t>
      </w:r>
      <w:r w:rsidRPr="07C34596" w:rsidR="4289982A">
        <w:rPr>
          <w:rFonts w:ascii="Times New Roman" w:hAnsi="Times New Roman" w:eastAsia="Times New Roman" w:cs="Times New Roman"/>
          <w:noProof w:val="0"/>
          <w:sz w:val="24"/>
          <w:szCs w:val="24"/>
          <w:lang w:val="en-US"/>
        </w:rPr>
        <w:t xml:space="preserve">ose </w:t>
      </w:r>
      <w:r w:rsidRPr="07C34596" w:rsidR="17C672C5">
        <w:rPr>
          <w:rFonts w:ascii="Times New Roman" w:hAnsi="Times New Roman" w:eastAsia="Times New Roman" w:cs="Times New Roman"/>
          <w:noProof w:val="0"/>
          <w:sz w:val="24"/>
          <w:szCs w:val="24"/>
          <w:lang w:val="en-US"/>
        </w:rPr>
        <w:t>price</w:t>
      </w:r>
      <w:r w:rsidRPr="07C34596" w:rsidR="4478405B">
        <w:rPr>
          <w:rFonts w:ascii="Times New Roman" w:hAnsi="Times New Roman" w:eastAsia="Times New Roman" w:cs="Times New Roman"/>
          <w:noProof w:val="0"/>
          <w:sz w:val="24"/>
          <w:szCs w:val="24"/>
          <w:lang w:val="en-US"/>
        </w:rPr>
        <w:t xml:space="preserve"> in the f</w:t>
      </w:r>
      <w:r w:rsidRPr="07C34596" w:rsidR="17D8EC5B">
        <w:rPr>
          <w:rFonts w:ascii="Times New Roman" w:hAnsi="Times New Roman" w:eastAsia="Times New Roman" w:cs="Times New Roman"/>
          <w:noProof w:val="0"/>
          <w:sz w:val="24"/>
          <w:szCs w:val="24"/>
          <w:lang w:val="en-US"/>
        </w:rPr>
        <w:t xml:space="preserve">ormer </w:t>
      </w:r>
      <w:r w:rsidRPr="07C34596" w:rsidR="4478405B">
        <w:rPr>
          <w:rFonts w:ascii="Times New Roman" w:hAnsi="Times New Roman" w:eastAsia="Times New Roman" w:cs="Times New Roman"/>
          <w:noProof w:val="0"/>
          <w:sz w:val="24"/>
          <w:szCs w:val="24"/>
          <w:lang w:val="en-US"/>
        </w:rPr>
        <w:t xml:space="preserve">period </w:t>
      </w:r>
      <w:r w:rsidRPr="07C34596" w:rsidR="4478405B">
        <w:rPr>
          <w:rFonts w:ascii="Times New Roman" w:hAnsi="Times New Roman" w:eastAsia="Times New Roman" w:cs="Times New Roman"/>
          <w:noProof w:val="0"/>
          <w:sz w:val="24"/>
          <w:szCs w:val="24"/>
          <w:lang w:val="en-US"/>
        </w:rPr>
        <w:t>is</w:t>
      </w:r>
      <w:r w:rsidRPr="07C34596" w:rsidR="4478405B">
        <w:rPr>
          <w:rFonts w:ascii="Times New Roman" w:hAnsi="Times New Roman" w:eastAsia="Times New Roman" w:cs="Times New Roman"/>
          <w:noProof w:val="0"/>
          <w:sz w:val="24"/>
          <w:szCs w:val="24"/>
          <w:lang w:val="en-US"/>
        </w:rPr>
        <w:t xml:space="preserve"> </w:t>
      </w:r>
      <w:r w:rsidRPr="07C34596" w:rsidR="731F6394">
        <w:rPr>
          <w:rFonts w:ascii="Times New Roman" w:hAnsi="Times New Roman" w:eastAsia="Times New Roman" w:cs="Times New Roman"/>
          <w:noProof w:val="0"/>
          <w:sz w:val="24"/>
          <w:szCs w:val="24"/>
          <w:lang w:val="en-US"/>
        </w:rPr>
        <w:t xml:space="preserve">greater </w:t>
      </w:r>
      <w:r w:rsidRPr="07C34596" w:rsidR="4478405B">
        <w:rPr>
          <w:rFonts w:ascii="Times New Roman" w:hAnsi="Times New Roman" w:eastAsia="Times New Roman" w:cs="Times New Roman"/>
          <w:noProof w:val="0"/>
          <w:sz w:val="24"/>
          <w:szCs w:val="24"/>
          <w:lang w:val="en-US"/>
        </w:rPr>
        <w:t>than the lat</w:t>
      </w:r>
      <w:r w:rsidRPr="07C34596" w:rsidR="61C6BF1D">
        <w:rPr>
          <w:rFonts w:ascii="Times New Roman" w:hAnsi="Times New Roman" w:eastAsia="Times New Roman" w:cs="Times New Roman"/>
          <w:noProof w:val="0"/>
          <w:sz w:val="24"/>
          <w:szCs w:val="24"/>
          <w:lang w:val="en-US"/>
        </w:rPr>
        <w:t xml:space="preserve">ter </w:t>
      </w:r>
    </w:p>
    <w:p xmlns:wp14="http://schemas.microsoft.com/office/word/2010/wordml" w:rsidP="07C34596" wp14:paraId="4BDFAD57" wp14:textId="17BC70B7">
      <w:pPr>
        <w:pStyle w:val="Normal"/>
        <w:rPr>
          <w:rFonts w:ascii="Times New Roman" w:hAnsi="Times New Roman" w:eastAsia="Times New Roman" w:cs="Times New Roman"/>
          <w:noProof w:val="0"/>
          <w:sz w:val="24"/>
          <w:szCs w:val="24"/>
          <w:lang w:val="en-US"/>
        </w:rPr>
      </w:pPr>
      <w:r w:rsidRPr="07C34596" w:rsidR="4478405B">
        <w:rPr>
          <w:rFonts w:ascii="Times New Roman" w:hAnsi="Times New Roman" w:eastAsia="Times New Roman" w:cs="Times New Roman"/>
          <w:noProof w:val="0"/>
          <w:u w:val="single"/>
          <w:lang w:val="en-US"/>
        </w:rPr>
        <w:t>Null Hypothesis 2:</w:t>
      </w:r>
      <w:r w:rsidRPr="07C34596" w:rsidR="4478405B">
        <w:rPr>
          <w:rFonts w:ascii="Times New Roman" w:hAnsi="Times New Roman" w:eastAsia="Times New Roman" w:cs="Times New Roman"/>
          <w:noProof w:val="0"/>
          <w:lang w:val="en-US"/>
        </w:rPr>
        <w:t xml:space="preserve"> </w:t>
      </w:r>
    </w:p>
    <w:p xmlns:wp14="http://schemas.microsoft.com/office/word/2010/wordml" w:rsidP="07C34596" wp14:paraId="60715D28" wp14:textId="376EDFC4">
      <w:pPr>
        <w:pStyle w:val="Normal"/>
        <w:ind w:left="720" w:firstLine="720"/>
        <w:rPr>
          <w:rFonts w:ascii="Times New Roman" w:hAnsi="Times New Roman" w:eastAsia="Times New Roman" w:cs="Times New Roman"/>
          <w:noProof w:val="0"/>
          <w:sz w:val="24"/>
          <w:szCs w:val="24"/>
          <w:lang w:val="en-US"/>
        </w:rPr>
      </w:pPr>
      <w:r w:rsidRPr="07C34596" w:rsidR="4478405B">
        <w:rPr>
          <w:rFonts w:ascii="Times New Roman" w:hAnsi="Times New Roman" w:eastAsia="Times New Roman" w:cs="Times New Roman"/>
          <w:noProof w:val="0"/>
          <w:sz w:val="24"/>
          <w:szCs w:val="24"/>
          <w:lang w:val="en-US"/>
        </w:rPr>
        <w:t xml:space="preserve">There is no difference between the means of volume </w:t>
      </w:r>
      <w:r w:rsidRPr="07C34596" w:rsidR="4CD77C8B">
        <w:rPr>
          <w:rFonts w:ascii="Times New Roman" w:hAnsi="Times New Roman" w:eastAsia="Times New Roman" w:cs="Times New Roman"/>
          <w:noProof w:val="0"/>
          <w:sz w:val="24"/>
          <w:szCs w:val="24"/>
          <w:lang w:val="en-US"/>
        </w:rPr>
        <w:t>of</w:t>
      </w:r>
      <w:r w:rsidRPr="07C34596" w:rsidR="4478405B">
        <w:rPr>
          <w:rFonts w:ascii="Times New Roman" w:hAnsi="Times New Roman" w:eastAsia="Times New Roman" w:cs="Times New Roman"/>
          <w:noProof w:val="0"/>
          <w:sz w:val="24"/>
          <w:szCs w:val="24"/>
          <w:lang w:val="en-US"/>
        </w:rPr>
        <w:t xml:space="preserve"> October 2022 to May 2023 and October 2023 to May 2024</w:t>
      </w:r>
    </w:p>
    <w:p xmlns:wp14="http://schemas.microsoft.com/office/word/2010/wordml" w:rsidP="07C34596" wp14:paraId="560571A1" wp14:textId="04341A23">
      <w:pPr>
        <w:pStyle w:val="Normal"/>
        <w:ind w:firstLine="720"/>
        <w:rPr>
          <w:rFonts w:ascii="Times New Roman" w:hAnsi="Times New Roman" w:eastAsia="Times New Roman" w:cs="Times New Roman"/>
          <w:noProof w:val="0"/>
          <w:u w:val="single"/>
          <w:lang w:val="en-US"/>
        </w:rPr>
      </w:pPr>
      <w:r w:rsidRPr="07C34596" w:rsidR="4478405B">
        <w:rPr>
          <w:rFonts w:ascii="Times New Roman" w:hAnsi="Times New Roman" w:eastAsia="Times New Roman" w:cs="Times New Roman"/>
          <w:noProof w:val="0"/>
          <w:u w:val="single"/>
          <w:lang w:val="en-US"/>
        </w:rPr>
        <w:t>Alternative Hypothesis 2:</w:t>
      </w:r>
      <w:r w:rsidRPr="07C34596" w:rsidR="4478405B">
        <w:rPr>
          <w:rFonts w:ascii="Times New Roman" w:hAnsi="Times New Roman" w:eastAsia="Times New Roman" w:cs="Times New Roman"/>
          <w:noProof w:val="0"/>
          <w:u w:val="none"/>
          <w:lang w:val="en-US"/>
        </w:rPr>
        <w:t xml:space="preserve"> </w:t>
      </w:r>
    </w:p>
    <w:p xmlns:wp14="http://schemas.microsoft.com/office/word/2010/wordml" w:rsidP="07C34596" wp14:paraId="16E5794F" wp14:textId="76D5774A">
      <w:pPr>
        <w:pStyle w:val="Normal"/>
        <w:ind w:left="720" w:firstLine="720"/>
        <w:rPr>
          <w:rFonts w:ascii="Times New Roman" w:hAnsi="Times New Roman" w:eastAsia="Times New Roman" w:cs="Times New Roman"/>
          <w:noProof w:val="0"/>
          <w:sz w:val="24"/>
          <w:szCs w:val="24"/>
          <w:lang w:val="en-US"/>
        </w:rPr>
      </w:pPr>
      <w:r w:rsidRPr="07C34596" w:rsidR="4478405B">
        <w:rPr>
          <w:rFonts w:ascii="Times New Roman" w:hAnsi="Times New Roman" w:eastAsia="Times New Roman" w:cs="Times New Roman"/>
          <w:noProof w:val="0"/>
          <w:sz w:val="24"/>
          <w:szCs w:val="24"/>
          <w:lang w:val="en-US"/>
        </w:rPr>
        <w:t>The average volume in the f</w:t>
      </w:r>
      <w:r w:rsidRPr="07C34596" w:rsidR="2C42E78B">
        <w:rPr>
          <w:rFonts w:ascii="Times New Roman" w:hAnsi="Times New Roman" w:eastAsia="Times New Roman" w:cs="Times New Roman"/>
          <w:noProof w:val="0"/>
          <w:sz w:val="24"/>
          <w:szCs w:val="24"/>
          <w:lang w:val="en-US"/>
        </w:rPr>
        <w:t xml:space="preserve">ormer </w:t>
      </w:r>
      <w:r w:rsidRPr="07C34596" w:rsidR="4478405B">
        <w:rPr>
          <w:rFonts w:ascii="Times New Roman" w:hAnsi="Times New Roman" w:eastAsia="Times New Roman" w:cs="Times New Roman"/>
          <w:noProof w:val="0"/>
          <w:sz w:val="24"/>
          <w:szCs w:val="24"/>
          <w:lang w:val="en-US"/>
        </w:rPr>
        <w:t>period is less than the l</w:t>
      </w:r>
      <w:r w:rsidRPr="07C34596" w:rsidR="4942A855">
        <w:rPr>
          <w:rFonts w:ascii="Times New Roman" w:hAnsi="Times New Roman" w:eastAsia="Times New Roman" w:cs="Times New Roman"/>
          <w:noProof w:val="0"/>
          <w:sz w:val="24"/>
          <w:szCs w:val="24"/>
          <w:lang w:val="en-US"/>
        </w:rPr>
        <w:t>atter</w:t>
      </w:r>
    </w:p>
    <w:p xmlns:wp14="http://schemas.microsoft.com/office/word/2010/wordml" w:rsidP="07C34596" wp14:paraId="52ADBC8A" wp14:textId="7C7B1ADC">
      <w:pPr>
        <w:pStyle w:val="Heading1"/>
        <w:spacing w:before="240" w:beforeAutospacing="off" w:after="0" w:afterAutospacing="off"/>
      </w:pPr>
      <w:r w:rsidRPr="07C34596" w:rsidR="325A5C54">
        <w:rPr>
          <w:rFonts w:ascii="Calibri" w:hAnsi="Calibri" w:eastAsia="Calibri" w:cs="Calibri"/>
          <w:b w:val="0"/>
          <w:bCs w:val="0"/>
          <w:i w:val="0"/>
          <w:iCs w:val="0"/>
          <w:strike w:val="0"/>
          <w:dstrike w:val="0"/>
          <w:noProof w:val="0"/>
          <w:color w:val="2F5496"/>
          <w:sz w:val="32"/>
          <w:szCs w:val="32"/>
          <w:u w:val="none"/>
          <w:lang w:val="en-US"/>
        </w:rPr>
        <w:t xml:space="preserve">Population of Interest: </w:t>
      </w:r>
    </w:p>
    <w:p xmlns:wp14="http://schemas.microsoft.com/office/word/2010/wordml" w:rsidP="07C34596" wp14:paraId="2E950A87" wp14:textId="3620CA63">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07C34596" w:rsidR="325A5C54">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07C34596" w:rsidR="137D0F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Daily stock prices of </w:t>
      </w:r>
      <w:r w:rsidRPr="07C34596" w:rsidR="137D0F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Starbucks</w:t>
      </w:r>
      <w:r w:rsidRPr="07C34596" w:rsidR="137D0F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from October 2022</w:t>
      </w:r>
      <w:r w:rsidRPr="07C34596" w:rsidR="34CE1F1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May </w:t>
      </w:r>
      <w:r w:rsidRPr="07C34596" w:rsidR="137D0F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07C34596" w:rsidR="4639A5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w:t>
      </w:r>
      <w:r w:rsidRPr="07C34596" w:rsidR="137D0F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24</w:t>
      </w:r>
    </w:p>
    <w:p xmlns:wp14="http://schemas.microsoft.com/office/word/2010/wordml" w:rsidP="07C34596" wp14:paraId="41569B1F" wp14:textId="1CBAF6B7">
      <w:pPr>
        <w:spacing w:before="0" w:beforeAutospacing="off" w:after="0" w:afterAutospacing="off"/>
        <w:ind w:left="0" w:right="0"/>
        <w:rPr>
          <w:rFonts w:ascii="Calibri" w:hAnsi="Calibri" w:eastAsia="Calibri" w:cs="Calibri"/>
          <w:b w:val="0"/>
          <w:bCs w:val="0"/>
          <w:i w:val="0"/>
          <w:iCs w:val="0"/>
          <w:strike w:val="0"/>
          <w:dstrike w:val="0"/>
          <w:noProof w:val="0"/>
          <w:color w:val="2F5496"/>
          <w:sz w:val="32"/>
          <w:szCs w:val="32"/>
          <w:u w:val="none"/>
          <w:lang w:val="en-US"/>
        </w:rPr>
      </w:pPr>
    </w:p>
    <w:p xmlns:wp14="http://schemas.microsoft.com/office/word/2010/wordml" w:rsidP="07C34596" wp14:paraId="635F7C6A" wp14:textId="5AB9931D">
      <w:pPr>
        <w:spacing w:before="0" w:beforeAutospacing="off" w:after="0" w:afterAutospacing="off"/>
        <w:ind w:left="0" w:right="0"/>
        <w:rPr>
          <w:rFonts w:ascii="Calibri" w:hAnsi="Calibri" w:eastAsia="Calibri" w:cs="Calibri"/>
          <w:b w:val="0"/>
          <w:bCs w:val="0"/>
          <w:i w:val="0"/>
          <w:iCs w:val="0"/>
          <w:strike w:val="0"/>
          <w:dstrike w:val="0"/>
          <w:noProof w:val="0"/>
          <w:color w:val="2F5496"/>
          <w:sz w:val="32"/>
          <w:szCs w:val="32"/>
          <w:u w:val="none"/>
          <w:lang w:val="en-US"/>
        </w:rPr>
      </w:pPr>
    </w:p>
    <w:p xmlns:wp14="http://schemas.microsoft.com/office/word/2010/wordml" w:rsidP="07C34596" wp14:paraId="2C4504DF" wp14:textId="607F184C">
      <w:pPr>
        <w:spacing w:before="0" w:beforeAutospacing="off" w:after="0" w:afterAutospacing="off"/>
        <w:ind w:left="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325A5C54">
        <w:rPr>
          <w:rFonts w:ascii="Calibri" w:hAnsi="Calibri" w:eastAsia="Calibri" w:cs="Calibri"/>
          <w:b w:val="0"/>
          <w:bCs w:val="0"/>
          <w:i w:val="0"/>
          <w:iCs w:val="0"/>
          <w:strike w:val="0"/>
          <w:dstrike w:val="0"/>
          <w:noProof w:val="0"/>
          <w:color w:val="2F5496"/>
          <w:sz w:val="32"/>
          <w:szCs w:val="32"/>
          <w:u w:val="none"/>
          <w:lang w:val="en-US"/>
        </w:rPr>
        <w:t>Dataset:</w:t>
      </w:r>
    </w:p>
    <w:p xmlns:wp14="http://schemas.microsoft.com/office/word/2010/wordml" w:rsidP="07C34596" wp14:paraId="6F966897" wp14:textId="34408E0F">
      <w:pPr>
        <w:pStyle w:val="Normal"/>
        <w:spacing w:before="0" w:beforeAutospacing="off" w:after="0" w:afterAutospacing="off"/>
        <w:ind w:left="0" w:right="0"/>
        <w:rPr>
          <w:rFonts w:ascii="Calibri" w:hAnsi="Calibri" w:eastAsia="Calibri" w:cs="Calibri"/>
          <w:b w:val="0"/>
          <w:bCs w:val="0"/>
          <w:i w:val="0"/>
          <w:iCs w:val="0"/>
          <w:strike w:val="0"/>
          <w:dstrike w:val="0"/>
          <w:noProof w:val="0"/>
          <w:color w:val="2F5496"/>
          <w:sz w:val="32"/>
          <w:szCs w:val="32"/>
          <w:u w:val="none"/>
          <w:lang w:val="en-US"/>
        </w:rPr>
      </w:pPr>
    </w:p>
    <w:p xmlns:wp14="http://schemas.microsoft.com/office/word/2010/wordml" w:rsidP="07C34596" wp14:paraId="3B9F2933" wp14:textId="5843FB22">
      <w:pPr>
        <w:spacing w:before="0" w:beforeAutospacing="off" w:after="0" w:afterAutospacing="off"/>
        <w:ind w:left="0" w:righ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545D80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dataset </w:t>
      </w:r>
      <w:r w:rsidRPr="07C34596" w:rsidR="545D80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contains</w:t>
      </w:r>
      <w:r w:rsidRPr="07C34596" w:rsidR="545D80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Starbucks’s historical data in the stock market from </w:t>
      </w:r>
      <w:r w:rsidRPr="07C34596" w:rsidR="1965FF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26 </w:t>
      </w:r>
      <w:r w:rsidRPr="07C34596" w:rsidR="018842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June</w:t>
      </w:r>
      <w:r w:rsidRPr="07C34596" w:rsidR="5626BD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7C34596" w:rsidR="545D80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07C34596" w:rsidR="545D80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992 till</w:t>
      </w:r>
      <w:r w:rsidRPr="07C34596" w:rsidR="1CCFF74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7C34596" w:rsidR="545D80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present day (23/5/2024)</w:t>
      </w:r>
    </w:p>
    <w:p xmlns:wp14="http://schemas.microsoft.com/office/word/2010/wordml" w:rsidP="07C34596" wp14:paraId="4AE4EC11" wp14:textId="27D46FE9">
      <w:pPr>
        <w:pStyle w:val="Normal"/>
        <w:suppressLineNumbers w:val="0"/>
        <w:bidi w:val="0"/>
        <w:spacing w:before="0" w:beforeAutospacing="on" w:after="120" w:afterAutospacing="off" w:line="279" w:lineRule="auto"/>
        <w:ind w:left="0" w:right="0"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Here is a brief of each column in the dataset:</w:t>
      </w:r>
    </w:p>
    <w:p xmlns:wp14="http://schemas.microsoft.com/office/word/2010/wordml" w:rsidP="07C34596" wp14:paraId="23915F86" wp14:textId="3A17F2F3">
      <w:pPr>
        <w:pStyle w:val="Normal"/>
        <w:suppressLineNumbers w:val="0"/>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Date:</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date of the trading day.</w:t>
      </w:r>
    </w:p>
    <w:p xmlns:wp14="http://schemas.microsoft.com/office/word/2010/wordml" w:rsidP="07C34596" wp14:paraId="67FD289E" wp14:textId="2D599F56">
      <w:pPr>
        <w:pStyle w:val="Normal"/>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Open:</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opening price of the stock on that day.</w:t>
      </w:r>
    </w:p>
    <w:p xmlns:wp14="http://schemas.microsoft.com/office/word/2010/wordml" w:rsidP="07C34596" wp14:paraId="5D6AB746" wp14:textId="32848978">
      <w:pPr>
        <w:pStyle w:val="Normal"/>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High:</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highest price the stock reached on that day.</w:t>
      </w:r>
    </w:p>
    <w:p xmlns:wp14="http://schemas.microsoft.com/office/word/2010/wordml" w:rsidP="07C34596" wp14:paraId="4DC226E5" wp14:textId="7962B120">
      <w:pPr>
        <w:pStyle w:val="Normal"/>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Low:</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lowest price the stock reached on that day.</w:t>
      </w:r>
    </w:p>
    <w:p xmlns:wp14="http://schemas.microsoft.com/office/word/2010/wordml" w:rsidP="07C34596" wp14:paraId="3B70F451" wp14:textId="37D26B4A">
      <w:pPr>
        <w:pStyle w:val="Normal"/>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Close:</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closing price of the stock on that day.</w:t>
      </w:r>
    </w:p>
    <w:p xmlns:wp14="http://schemas.microsoft.com/office/word/2010/wordml" w:rsidP="07C34596" wp14:paraId="7B6EC940" wp14:textId="639DD499">
      <w:pPr>
        <w:pStyle w:val="Normal"/>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Adj Close:</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adjusted closing price of the stock, accounting for any corporate actions like stock splits and dividends.</w:t>
      </w:r>
    </w:p>
    <w:p xmlns:wp14="http://schemas.microsoft.com/office/word/2010/wordml" w:rsidP="07C34596" wp14:paraId="0B8F23B3" wp14:textId="3061DE18">
      <w:pPr>
        <w:pStyle w:val="Normal"/>
        <w:bidi w:val="0"/>
        <w:spacing w:before="0" w:beforeAutospacing="on" w:after="120" w:afterAutospacing="off" w:line="279" w:lineRule="auto"/>
        <w:ind w:left="720" w:righ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405DEA1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Volume:</w:t>
      </w:r>
      <w:r w:rsidRPr="07C34596" w:rsidR="405DEA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number of shares traded on that day.</w:t>
      </w:r>
    </w:p>
    <w:p xmlns:wp14="http://schemas.microsoft.com/office/word/2010/wordml" w:rsidP="07C34596" wp14:paraId="6C7F8178" wp14:textId="3661C221">
      <w:pPr>
        <w:pStyle w:val="Heading1"/>
        <w:spacing w:before="240" w:beforeAutospacing="off" w:after="0" w:afterAutospacing="off"/>
      </w:pPr>
      <w:r w:rsidRPr="07C34596" w:rsidR="325A5C54">
        <w:rPr>
          <w:rFonts w:ascii="Calibri" w:hAnsi="Calibri" w:eastAsia="Calibri" w:cs="Calibri"/>
          <w:b w:val="0"/>
          <w:bCs w:val="0"/>
          <w:i w:val="0"/>
          <w:iCs w:val="0"/>
          <w:strike w:val="0"/>
          <w:dstrike w:val="0"/>
          <w:noProof w:val="0"/>
          <w:color w:val="2F5496"/>
          <w:sz w:val="32"/>
          <w:szCs w:val="32"/>
          <w:u w:val="none"/>
          <w:lang w:val="en-US"/>
        </w:rPr>
        <w:t>Analysis:</w:t>
      </w:r>
    </w:p>
    <w:p xmlns:wp14="http://schemas.microsoft.com/office/word/2010/wordml" w:rsidP="07C34596" wp14:paraId="2CFE6E5B" wp14:textId="41546A67">
      <w:pPr>
        <w:pStyle w:val="Normal"/>
        <w:rPr>
          <w:noProof w:val="0"/>
          <w:lang w:val="en-US"/>
        </w:rPr>
      </w:pPr>
    </w:p>
    <w:p xmlns:wp14="http://schemas.microsoft.com/office/word/2010/wordml" w:rsidP="07C34596" wp14:paraId="7951C417" wp14:textId="75052992">
      <w:pPr>
        <w:pStyle w:val="Heading3"/>
        <w:shd w:val="clear" w:color="auto" w:fill="FFFFFF" w:themeFill="background1"/>
        <w:spacing w:before="0" w:beforeAutospacing="off" w:after="12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Descriptive Statistics Analysis</w:t>
      </w:r>
    </w:p>
    <w:p xmlns:wp14="http://schemas.microsoft.com/office/word/2010/wordml" w:rsidP="07C34596" wp14:paraId="78D670EC" wp14:textId="412DF6B1">
      <w:pPr>
        <w:pStyle w:val="Heading4"/>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Period: October 2022 - May 2023</w:t>
      </w:r>
    </w:p>
    <w:p xmlns:wp14="http://schemas.microsoft.com/office/word/2010/wordml" w:rsidP="07C34596" wp14:paraId="0A45E7C9" wp14:textId="1EF0EDC8">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Date</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data covers a period from October 2022 to May 2023 with a total of 166 observations.</w:t>
      </w:r>
    </w:p>
    <w:p xmlns:wp14="http://schemas.microsoft.com/office/word/2010/wordml" w:rsidP="07C34596" wp14:paraId="0B83F945" wp14:textId="7FA52890">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Open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247C88CB" wp14:textId="7E7C0CA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100.75</w:t>
      </w:r>
    </w:p>
    <w:p xmlns:wp14="http://schemas.microsoft.com/office/word/2010/wordml" w:rsidP="07C34596" wp14:paraId="5A861A96" wp14:textId="35488447">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7.03</w:t>
      </w:r>
    </w:p>
    <w:p xmlns:wp14="http://schemas.microsoft.com/office/word/2010/wordml" w:rsidP="07C34596" wp14:paraId="6F7239EE" wp14:textId="3DAF6CB8">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84.07</w:t>
      </w:r>
    </w:p>
    <w:p xmlns:wp14="http://schemas.microsoft.com/office/word/2010/wordml" w:rsidP="07C34596" wp14:paraId="03E096F8" wp14:textId="6F3E621F">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114.49</w:t>
      </w:r>
    </w:p>
    <w:p xmlns:wp14="http://schemas.microsoft.com/office/word/2010/wordml" w:rsidP="07C34596" wp14:paraId="1B40B113" wp14:textId="652579F7">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High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16F4A940" wp14:textId="5E8C3C3D">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101.79</w:t>
      </w:r>
    </w:p>
    <w:p xmlns:wp14="http://schemas.microsoft.com/office/word/2010/wordml" w:rsidP="07C34596" wp14:paraId="07ED7A06" wp14:textId="3A63F4C7">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6.92</w:t>
      </w:r>
    </w:p>
    <w:p xmlns:wp14="http://schemas.microsoft.com/office/word/2010/wordml" w:rsidP="07C34596" wp14:paraId="157795A2" wp14:textId="58224A01">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85.47</w:t>
      </w:r>
    </w:p>
    <w:p xmlns:wp14="http://schemas.microsoft.com/office/word/2010/wordml" w:rsidP="07C34596" wp14:paraId="28F7D24F" wp14:textId="2F317BD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115.48</w:t>
      </w:r>
    </w:p>
    <w:p xmlns:wp14="http://schemas.microsoft.com/office/word/2010/wordml" w:rsidP="07C34596" wp14:paraId="6E9D6A52" wp14:textId="7F6A2216">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Low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65E9F10F" wp14:textId="778E5EF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99.85</w:t>
      </w:r>
    </w:p>
    <w:p xmlns:wp14="http://schemas.microsoft.com/office/word/2010/wordml" w:rsidP="07C34596" wp14:paraId="0D63D3EF" wp14:textId="7F89CAB2">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7.16</w:t>
      </w:r>
    </w:p>
    <w:p xmlns:wp14="http://schemas.microsoft.com/office/word/2010/wordml" w:rsidP="07C34596" wp14:paraId="31106BE4" wp14:textId="68BA4C8A">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82.43</w:t>
      </w:r>
    </w:p>
    <w:p xmlns:wp14="http://schemas.microsoft.com/office/word/2010/wordml" w:rsidP="07C34596" wp14:paraId="1BB56C12" wp14:textId="567D4D7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114.25</w:t>
      </w:r>
    </w:p>
    <w:p xmlns:wp14="http://schemas.microsoft.com/office/word/2010/wordml" w:rsidP="07C34596" wp14:paraId="315E5596" wp14:textId="024BEB31">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Close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13612C62" wp14:textId="3AEEC50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100.88</w:t>
      </w:r>
    </w:p>
    <w:p xmlns:wp14="http://schemas.microsoft.com/office/word/2010/wordml" w:rsidP="07C34596" wp14:paraId="60AC6E24" wp14:textId="655FA0F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7.13</w:t>
      </w:r>
    </w:p>
    <w:p xmlns:wp14="http://schemas.microsoft.com/office/word/2010/wordml" w:rsidP="07C34596" wp14:paraId="4513EEE7" wp14:textId="31EC846A">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83.76</w:t>
      </w:r>
    </w:p>
    <w:p xmlns:wp14="http://schemas.microsoft.com/office/word/2010/wordml" w:rsidP="07C34596" wp14:paraId="0CCD27F5" wp14:textId="1E03CFF5">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114.56</w:t>
      </w:r>
    </w:p>
    <w:p xmlns:wp14="http://schemas.microsoft.com/office/word/2010/wordml" w:rsidP="07C34596" wp14:paraId="73CCF4B3" wp14:textId="498CA167">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Adjusted Close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7B67867E" wp14:textId="772A2A15">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97.67</w:t>
      </w:r>
    </w:p>
    <w:p xmlns:wp14="http://schemas.microsoft.com/office/word/2010/wordml" w:rsidP="07C34596" wp14:paraId="50385C06" wp14:textId="7202B1A6">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7.17</w:t>
      </w:r>
    </w:p>
    <w:p xmlns:wp14="http://schemas.microsoft.com/office/word/2010/wordml" w:rsidP="07C34596" wp14:paraId="4F1BB07A" wp14:textId="5AF138A5">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80.47</w:t>
      </w:r>
    </w:p>
    <w:p xmlns:wp14="http://schemas.microsoft.com/office/word/2010/wordml" w:rsidP="07C34596" wp14:paraId="52985E02" wp14:textId="37553E09">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111.25</w:t>
      </w:r>
    </w:p>
    <w:p xmlns:wp14="http://schemas.microsoft.com/office/word/2010/wordml" w:rsidP="07C34596" wp14:paraId="3F6ACA04" wp14:textId="4C9A391E">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Volume</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03ACA7BD" wp14:textId="0A8EADBE">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6,557,510</w:t>
      </w:r>
    </w:p>
    <w:p xmlns:wp14="http://schemas.microsoft.com/office/word/2010/wordml" w:rsidP="07C34596" wp14:paraId="042D0281" wp14:textId="01859099">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2,819,347</w:t>
      </w:r>
    </w:p>
    <w:p xmlns:wp14="http://schemas.microsoft.com/office/word/2010/wordml" w:rsidP="07C34596" wp14:paraId="5F6F195A" wp14:textId="2ACDD0E2">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2,320,000</w:t>
      </w:r>
    </w:p>
    <w:p xmlns:wp14="http://schemas.microsoft.com/office/word/2010/wordml" w:rsidP="07C34596" wp14:paraId="4C7F41BD" wp14:textId="7BA604B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24,388,600</w:t>
      </w:r>
    </w:p>
    <w:p xmlns:wp14="http://schemas.microsoft.com/office/word/2010/wordml" w:rsidP="07C34596" wp14:paraId="64E51392" wp14:textId="47A91ACA">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Daily Return</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71DA1C7E" wp14:textId="5B43929F">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0.001</w:t>
      </w:r>
    </w:p>
    <w:p xmlns:wp14="http://schemas.microsoft.com/office/word/2010/wordml" w:rsidP="07C34596" wp14:paraId="16AF9692" wp14:textId="6D89CA7F">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0.017</w:t>
      </w:r>
    </w:p>
    <w:p xmlns:wp14="http://schemas.microsoft.com/office/word/2010/wordml" w:rsidP="07C34596" wp14:paraId="2F068B45" wp14:textId="31FE1846">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-0.092</w:t>
      </w:r>
    </w:p>
    <w:p xmlns:wp14="http://schemas.microsoft.com/office/word/2010/wordml" w:rsidP="07C34596" wp14:paraId="487F4BAF" wp14:textId="56577746">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0.085</w:t>
      </w:r>
    </w:p>
    <w:p xmlns:wp14="http://schemas.microsoft.com/office/word/2010/wordml" w:rsidP="07C34596" wp14:paraId="3DDA57C0" wp14:textId="129D6FE5">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Volatility</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37F05721" wp14:textId="1944A582">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0.272</w:t>
      </w:r>
    </w:p>
    <w:p xmlns:wp14="http://schemas.microsoft.com/office/word/2010/wordml" w:rsidP="07C34596" wp14:paraId="214545F9" wp14:textId="06BB37D0">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0.086</w:t>
      </w:r>
    </w:p>
    <w:p xmlns:wp14="http://schemas.microsoft.com/office/word/2010/wordml" w:rsidP="07C34596" wp14:paraId="50B2A97A" wp14:textId="5AF0BB09">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0.144</w:t>
      </w:r>
    </w:p>
    <w:p xmlns:wp14="http://schemas.microsoft.com/office/word/2010/wordml" w:rsidP="07C34596" wp14:paraId="13224435" wp14:textId="01DEA337">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0.437</w:t>
      </w:r>
    </w:p>
    <w:p xmlns:wp14="http://schemas.microsoft.com/office/word/2010/wordml" w:rsidP="07C34596" wp14:paraId="300BFFE9" wp14:textId="5D3290D2">
      <w:pPr>
        <w:pStyle w:val="Heading4"/>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Period: October 2023 - May 2024</w:t>
      </w:r>
    </w:p>
    <w:p xmlns:wp14="http://schemas.microsoft.com/office/word/2010/wordml" w:rsidP="07C34596" wp14:paraId="29AF9612" wp14:textId="40F6359A">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Date: The data covers a period from October 2023 to May 2024 with 163 observations.</w:t>
      </w:r>
    </w:p>
    <w:p xmlns:wp14="http://schemas.microsoft.com/office/word/2010/wordml" w:rsidP="07C34596" wp14:paraId="0A36FF88" wp14:textId="36981BD5">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Open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0A48D240" wp14:textId="60B224DF">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92.23</w:t>
      </w:r>
    </w:p>
    <w:p xmlns:wp14="http://schemas.microsoft.com/office/word/2010/wordml" w:rsidP="07C34596" wp14:paraId="28B47FB7" wp14:textId="199C0D41">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7.29</w:t>
      </w:r>
    </w:p>
    <w:p xmlns:wp14="http://schemas.microsoft.com/office/word/2010/wordml" w:rsidP="07C34596" wp14:paraId="35C76D82" wp14:textId="338CDC51">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72.29</w:t>
      </w:r>
    </w:p>
    <w:p xmlns:wp14="http://schemas.microsoft.com/office/word/2010/wordml" w:rsidP="07C34596" wp14:paraId="65EBA82B" wp14:textId="0D04C22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107.18</w:t>
      </w:r>
    </w:p>
    <w:p xmlns:wp14="http://schemas.microsoft.com/office/word/2010/wordml" w:rsidP="07C34596" wp14:paraId="2F8582DC" wp14:textId="488E7AF1">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High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26FFF717" wp14:textId="0037EC96">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92.95</w:t>
      </w:r>
    </w:p>
    <w:p xmlns:wp14="http://schemas.microsoft.com/office/word/2010/wordml" w:rsidP="07C34596" wp14:paraId="5F684CB3" wp14:textId="6F8FFED5">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7.23</w:t>
      </w:r>
    </w:p>
    <w:p xmlns:wp14="http://schemas.microsoft.com/office/word/2010/wordml" w:rsidP="07C34596" wp14:paraId="445FE0B6" wp14:textId="3491C9BE">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72.85</w:t>
      </w:r>
    </w:p>
    <w:p xmlns:wp14="http://schemas.microsoft.com/office/word/2010/wordml" w:rsidP="07C34596" wp14:paraId="5CAAEB94" wp14:textId="76D4DD4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107.66</w:t>
      </w:r>
    </w:p>
    <w:p xmlns:wp14="http://schemas.microsoft.com/office/word/2010/wordml" w:rsidP="07C34596" wp14:paraId="486E19BF" wp14:textId="18F10B37">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Low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7515CFA1" wp14:textId="1F216805">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91.42</w:t>
      </w:r>
    </w:p>
    <w:p xmlns:wp14="http://schemas.microsoft.com/office/word/2010/wordml" w:rsidP="07C34596" wp14:paraId="72C26473" wp14:textId="706B356A">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7.25</w:t>
      </w:r>
    </w:p>
    <w:p xmlns:wp14="http://schemas.microsoft.com/office/word/2010/wordml" w:rsidP="07C34596" wp14:paraId="4B6F1DA1" wp14:textId="7204E27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71.80</w:t>
      </w:r>
    </w:p>
    <w:p xmlns:wp14="http://schemas.microsoft.com/office/word/2010/wordml" w:rsidP="07C34596" wp14:paraId="2988532B" wp14:textId="7B9BAF52">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106.20</w:t>
      </w:r>
    </w:p>
    <w:p xmlns:wp14="http://schemas.microsoft.com/office/word/2010/wordml" w:rsidP="07C34596" wp14:paraId="777A206F" wp14:textId="781DD56B">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Close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71CD9CC0" wp14:textId="59A3D633">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92.14</w:t>
      </w:r>
    </w:p>
    <w:p xmlns:wp14="http://schemas.microsoft.com/office/word/2010/wordml" w:rsidP="07C34596" wp14:paraId="2CFB4348" wp14:textId="3263E9AF">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7.20</w:t>
      </w:r>
    </w:p>
    <w:p xmlns:wp14="http://schemas.microsoft.com/office/word/2010/wordml" w:rsidP="07C34596" wp14:paraId="4D601767" wp14:textId="454E767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72.50</w:t>
      </w:r>
    </w:p>
    <w:p xmlns:wp14="http://schemas.microsoft.com/office/word/2010/wordml" w:rsidP="07C34596" wp14:paraId="79049F2F" wp14:textId="053A44E4">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107.21</w:t>
      </w:r>
    </w:p>
    <w:p xmlns:wp14="http://schemas.microsoft.com/office/word/2010/wordml" w:rsidP="07C34596" wp14:paraId="5508C23D" wp14:textId="06F86E6E">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Adjusted Close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35F42B92" wp14:textId="6B5F331A">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91.07</w:t>
      </w:r>
    </w:p>
    <w:p xmlns:wp14="http://schemas.microsoft.com/office/word/2010/wordml" w:rsidP="07C34596" wp14:paraId="14F674BA" wp14:textId="23413446">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6.90</w:t>
      </w:r>
    </w:p>
    <w:p xmlns:wp14="http://schemas.microsoft.com/office/word/2010/wordml" w:rsidP="07C34596" wp14:paraId="7349894A" wp14:textId="1ADF3DDE">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71.95</w:t>
      </w:r>
    </w:p>
    <w:p xmlns:wp14="http://schemas.microsoft.com/office/word/2010/wordml" w:rsidP="07C34596" wp14:paraId="385E7259" wp14:textId="0E74A3F0">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105.77</w:t>
      </w:r>
    </w:p>
    <w:p xmlns:wp14="http://schemas.microsoft.com/office/word/2010/wordml" w:rsidP="07C34596" wp14:paraId="080B98DD" wp14:textId="3753B215">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Volume</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73285066" wp14:textId="4933A116">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9,182,346</w:t>
      </w:r>
    </w:p>
    <w:p xmlns:wp14="http://schemas.microsoft.com/office/word/2010/wordml" w:rsidP="07C34596" wp14:paraId="7E9A7EC9" wp14:textId="5D1DA884">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6,251,854</w:t>
      </w:r>
    </w:p>
    <w:p xmlns:wp14="http://schemas.microsoft.com/office/word/2010/wordml" w:rsidP="07C34596" wp14:paraId="71FCAEA5" wp14:textId="39B6B1A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3,206,400</w:t>
      </w:r>
    </w:p>
    <w:p xmlns:wp14="http://schemas.microsoft.com/office/word/2010/wordml" w:rsidP="07C34596" wp14:paraId="2C32E07A" wp14:textId="0411624A">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66,610,700</w:t>
      </w:r>
    </w:p>
    <w:p xmlns:wp14="http://schemas.microsoft.com/office/word/2010/wordml" w:rsidP="07C34596" wp14:paraId="505362F3" wp14:textId="074DCBD9">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Daily Return</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30AE6071" wp14:textId="4F42013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-0.001</w:t>
      </w:r>
    </w:p>
    <w:p xmlns:wp14="http://schemas.microsoft.com/office/word/2010/wordml" w:rsidP="07C34596" wp14:paraId="6212B48C" wp14:textId="70A7B81D">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0.019</w:t>
      </w:r>
    </w:p>
    <w:p xmlns:wp14="http://schemas.microsoft.com/office/word/2010/wordml" w:rsidP="07C34596" wp14:paraId="7723B23B" wp14:textId="791EFA7C">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-0.159</w:t>
      </w:r>
    </w:p>
    <w:p xmlns:wp14="http://schemas.microsoft.com/office/word/2010/wordml" w:rsidP="07C34596" wp14:paraId="2276FA0C" wp14:textId="5413A780">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0.095</w:t>
      </w:r>
    </w:p>
    <w:p xmlns:wp14="http://schemas.microsoft.com/office/word/2010/wordml" w:rsidP="07C34596" wp14:paraId="6DFC6630" wp14:textId="1B037400">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Volatility</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7C34596" wp14:paraId="3D8E575F" wp14:textId="4A583C9A">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Mean: 0.234</w:t>
      </w:r>
    </w:p>
    <w:p xmlns:wp14="http://schemas.microsoft.com/office/word/2010/wordml" w:rsidP="07C34596" wp14:paraId="35C9F118" wp14:textId="7A80273F">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Standard Deviation: 0.108</w:t>
      </w:r>
    </w:p>
    <w:p xmlns:wp14="http://schemas.microsoft.com/office/word/2010/wordml" w:rsidP="07C34596" wp14:paraId="69F77C60" wp14:textId="07D4DA09">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Minimum: 0.140</w:t>
      </w:r>
    </w:p>
    <w:p xmlns:wp14="http://schemas.microsoft.com/office/word/2010/wordml" w:rsidP="07C34596" wp14:paraId="14C958BF" wp14:textId="0A844CD0">
      <w:pPr>
        <w:pStyle w:val="ListParagraph"/>
        <w:numPr>
          <w:ilvl w:val="1"/>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Maximum: 0.516</w:t>
      </w:r>
    </w:p>
    <w:p xmlns:wp14="http://schemas.microsoft.com/office/word/2010/wordml" w:rsidP="07C34596" wp14:paraId="717A5B36" wp14:textId="04B9AD69">
      <w:pPr>
        <w:pStyle w:val="Heading4"/>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Comparison of Descriptive Statistics</w:t>
      </w:r>
    </w:p>
    <w:p xmlns:wp14="http://schemas.microsoft.com/office/word/2010/wordml" w:rsidP="07C34596" wp14:paraId="22DADA00" wp14:textId="437D65F4">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Mean Open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mean open prices decreased from 100.75 (Oct 2022 - May 2023) to 92.23 (Oct 2023 - May 2024).</w:t>
      </w:r>
    </w:p>
    <w:p xmlns:wp14="http://schemas.microsoft.com/office/word/2010/wordml" w:rsidP="07C34596" wp14:paraId="027D40A3" wp14:textId="30A7D455">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Mean High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mean </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high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decreased from 101.79 to 92.95.</w:t>
      </w:r>
    </w:p>
    <w:p xmlns:wp14="http://schemas.microsoft.com/office/word/2010/wordml" w:rsidP="07C34596" wp14:paraId="30752BD5" wp14:textId="07DC28AD">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Mean Low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mean low prices decreased from 99.85 to 91.42.</w:t>
      </w:r>
    </w:p>
    <w:p xmlns:wp14="http://schemas.microsoft.com/office/word/2010/wordml" w:rsidP="07C34596" wp14:paraId="3BCC7E7D" wp14:textId="789A9138">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Mean Close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mean </w:t>
      </w:r>
      <w:r w:rsidRPr="07C34596" w:rsidR="485BF53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closing</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prices decreased from 100.88 to 92.14.</w:t>
      </w:r>
    </w:p>
    <w:p xmlns:wp14="http://schemas.microsoft.com/office/word/2010/wordml" w:rsidP="07C34596" wp14:paraId="196D9FDF" wp14:textId="3EA6954F">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Mean Adjusted Close Prices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mean adjusted close prices decreased from 97.67 to 91.07.</w:t>
      </w:r>
    </w:p>
    <w:p xmlns:wp14="http://schemas.microsoft.com/office/word/2010/wordml" w:rsidP="07C34596" wp14:paraId="19012247" wp14:textId="53FF7B45">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Mean Volume</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mean volume increased significantly from 6,557,510 to 9,182,346.</w:t>
      </w:r>
    </w:p>
    <w:p xmlns:wp14="http://schemas.microsoft.com/office/word/2010/wordml" w:rsidP="07C34596" wp14:paraId="569C9E1B" wp14:textId="2852880C">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Daily Return</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mean daily return decreased from 0.001 to -0.001.</w:t>
      </w:r>
    </w:p>
    <w:p xmlns:wp14="http://schemas.microsoft.com/office/word/2010/wordml" w:rsidP="07C34596" wp14:paraId="3B853AE5" wp14:textId="5B4EAE70">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Volatility</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 mean volatility decreased from 0.272 to 0.234.</w:t>
      </w:r>
    </w:p>
    <w:p xmlns:wp14="http://schemas.microsoft.com/office/word/2010/wordml" w:rsidP="07C34596" wp14:paraId="4D0D5288" wp14:textId="69B016CA">
      <w:pPr>
        <w:shd w:val="clear" w:color="auto" w:fill="FFFFFF" w:themeFill="background1"/>
        <w:spacing w:before="30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This comprehensive comparison </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indicates</w:t>
      </w:r>
      <w:r w:rsidRPr="07C34596" w:rsidR="0F2D55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 general decline in stock prices and daily returns, while the trading volume has increased during the period following the boycotting event. This suggests that the boycott might have influenced investor behavior, leading to more trading activity but lower stock prices.</w:t>
      </w:r>
    </w:p>
    <w:p xmlns:wp14="http://schemas.microsoft.com/office/word/2010/wordml" w:rsidP="07C34596" wp14:paraId="1EBE5782" wp14:textId="738C93A0">
      <w:pPr>
        <w:pStyle w:val="Normal"/>
      </w:pPr>
    </w:p>
    <w:p xmlns:wp14="http://schemas.microsoft.com/office/word/2010/wordml" w:rsidP="07C34596" wp14:paraId="02D8A916" wp14:textId="08BDC771">
      <w:pPr>
        <w:pStyle w:val="Heading3"/>
        <w:shd w:val="clear" w:color="auto" w:fill="FFFFFF" w:themeFill="background1"/>
        <w:spacing w:before="0" w:beforeAutospacing="off" w:after="12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07C34596" w:rsidR="3BD42DE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Data Visualization</w:t>
      </w:r>
      <w:r w:rsidRPr="07C34596" w:rsidR="5009019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t>
      </w: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495"/>
      </w:tblGrid>
      <w:tr w:rsidR="07C34596" w:rsidTr="07C34596" w14:paraId="41C1A1A7">
        <w:trPr>
          <w:trHeight w:val="300"/>
        </w:trPr>
        <w:tc>
          <w:tcPr>
            <w:tcW w:w="9495" w:type="dxa"/>
            <w:tcMar/>
          </w:tcPr>
          <w:p w:rsidR="6F917A0C" w:rsidP="07C34596" w:rsidRDefault="6F917A0C" w14:paraId="4CC5E2DC" w14:textId="46E2CFF4">
            <w:pPr>
              <w:pStyle w:val="Normal"/>
              <w:rPr>
                <w:noProof w:val="0"/>
                <w:color w:val="auto"/>
                <w:lang w:val="en-US"/>
              </w:rPr>
            </w:pPr>
            <w:r w:rsidR="6F917A0C">
              <w:drawing>
                <wp:inline wp14:editId="07B54D82" wp14:anchorId="2F60553D">
                  <wp:extent cx="5899942" cy="2921898"/>
                  <wp:effectExtent l="0" t="0" r="0" b="0"/>
                  <wp:docPr id="1326395292" name="" descr="fds&#10;dfsdf&#10;" title=""/>
                  <wp:cNvGraphicFramePr>
                    <a:graphicFrameLocks noChangeAspect="1"/>
                  </wp:cNvGraphicFramePr>
                  <a:graphic>
                    <a:graphicData uri="http://schemas.openxmlformats.org/drawingml/2006/picture">
                      <pic:pic>
                        <pic:nvPicPr>
                          <pic:cNvPr id="0" name=""/>
                          <pic:cNvPicPr/>
                        </pic:nvPicPr>
                        <pic:blipFill>
                          <a:blip r:embed="R52dfdc18e8a649e1">
                            <a:extLst>
                              <a:ext xmlns:a="http://schemas.openxmlformats.org/drawingml/2006/main" uri="{28A0092B-C50C-407E-A947-70E740481C1C}">
                                <a14:useLocalDpi val="0"/>
                              </a:ext>
                            </a:extLst>
                          </a:blip>
                          <a:stretch>
                            <a:fillRect/>
                          </a:stretch>
                        </pic:blipFill>
                        <pic:spPr>
                          <a:xfrm>
                            <a:off x="0" y="0"/>
                            <a:ext cx="5899942" cy="2921898"/>
                          </a:xfrm>
                          <a:prstGeom prst="rect">
                            <a:avLst/>
                          </a:prstGeom>
                        </pic:spPr>
                      </pic:pic>
                    </a:graphicData>
                  </a:graphic>
                </wp:inline>
              </w:drawing>
            </w:r>
          </w:p>
        </w:tc>
      </w:tr>
      <w:tr w:rsidR="07C34596" w:rsidTr="07C34596" w14:paraId="6317CA44">
        <w:trPr>
          <w:trHeight w:val="975"/>
        </w:trPr>
        <w:tc>
          <w:tcPr>
            <w:tcW w:w="9495" w:type="dxa"/>
            <w:tcMar/>
            <w:vAlign w:val="top"/>
          </w:tcPr>
          <w:p w:rsidR="08B4DBB5" w:rsidP="07C34596" w:rsidRDefault="08B4DBB5" w14:paraId="61C42706" w14:textId="2667A8AA">
            <w:pPr>
              <w:pStyle w:val="Normal"/>
              <w:jc w:val="center"/>
              <w:rPr>
                <w:rFonts w:ascii="Calibri" w:hAnsi="Calibri" w:eastAsia="Calibri" w:cs="Calibri"/>
                <w:b w:val="0"/>
                <w:bCs w:val="0"/>
                <w:i w:val="1"/>
                <w:iCs w:val="1"/>
                <w:color w:val="auto"/>
              </w:rPr>
            </w:pPr>
            <w:r w:rsidRPr="07C34596" w:rsidR="08B4DBB5">
              <w:rPr>
                <w:rFonts w:ascii="Calibri" w:hAnsi="Calibri" w:eastAsia="Calibri" w:cs="Calibri"/>
                <w:b w:val="1"/>
                <w:bCs w:val="1"/>
                <w:i w:val="1"/>
                <w:iCs w:val="1"/>
                <w:color w:val="auto"/>
              </w:rPr>
              <w:t>f</w:t>
            </w:r>
            <w:r w:rsidRPr="07C34596" w:rsidR="6F917A0C">
              <w:rPr>
                <w:rFonts w:ascii="Calibri" w:hAnsi="Calibri" w:eastAsia="Calibri" w:cs="Calibri"/>
                <w:b w:val="1"/>
                <w:bCs w:val="1"/>
                <w:i w:val="1"/>
                <w:iCs w:val="1"/>
                <w:color w:val="auto"/>
              </w:rPr>
              <w:t>ig</w:t>
            </w:r>
            <w:r w:rsidRPr="07C34596" w:rsidR="5312B8A1">
              <w:rPr>
                <w:rFonts w:ascii="Calibri" w:hAnsi="Calibri" w:eastAsia="Calibri" w:cs="Calibri"/>
                <w:b w:val="1"/>
                <w:bCs w:val="1"/>
                <w:i w:val="1"/>
                <w:iCs w:val="1"/>
                <w:color w:val="auto"/>
              </w:rPr>
              <w:t>.</w:t>
            </w:r>
            <w:r w:rsidRPr="07C34596" w:rsidR="5312B8A1">
              <w:rPr>
                <w:rFonts w:ascii="Calibri" w:hAnsi="Calibri" w:eastAsia="Calibri" w:cs="Calibri"/>
                <w:b w:val="1"/>
                <w:bCs w:val="1"/>
                <w:i w:val="1"/>
                <w:iCs w:val="1"/>
                <w:color w:val="auto"/>
              </w:rPr>
              <w:t xml:space="preserve"> </w:t>
            </w:r>
            <w:r w:rsidRPr="07C34596" w:rsidR="48C60926">
              <w:rPr>
                <w:rFonts w:ascii="Calibri" w:hAnsi="Calibri" w:eastAsia="Calibri" w:cs="Calibri"/>
                <w:b w:val="1"/>
                <w:bCs w:val="1"/>
                <w:i w:val="1"/>
                <w:iCs w:val="1"/>
                <w:color w:val="auto"/>
              </w:rPr>
              <w:t>1.</w:t>
            </w:r>
            <w:r w:rsidRPr="07C34596" w:rsidR="761C37E5">
              <w:rPr>
                <w:rFonts w:ascii="Calibri" w:hAnsi="Calibri" w:eastAsia="Calibri" w:cs="Calibri"/>
                <w:b w:val="1"/>
                <w:bCs w:val="1"/>
                <w:i w:val="1"/>
                <w:iCs w:val="1"/>
                <w:color w:val="auto"/>
              </w:rPr>
              <w:t xml:space="preserve"> </w:t>
            </w:r>
            <w:r w:rsidRPr="07C34596" w:rsidR="4760CC88">
              <w:rPr>
                <w:rFonts w:ascii="Calibri" w:hAnsi="Calibri" w:eastAsia="Calibri" w:cs="Calibri"/>
                <w:b w:val="0"/>
                <w:bCs w:val="0"/>
                <w:i w:val="1"/>
                <w:iCs w:val="1"/>
                <w:color w:val="auto"/>
              </w:rPr>
              <w:t xml:space="preserve">Starbucks </w:t>
            </w:r>
            <w:r w:rsidRPr="07C34596" w:rsidR="27F685D8">
              <w:rPr>
                <w:rFonts w:ascii="Calibri" w:hAnsi="Calibri" w:eastAsia="Calibri" w:cs="Calibri"/>
                <w:b w:val="0"/>
                <w:bCs w:val="0"/>
                <w:i w:val="1"/>
                <w:iCs w:val="1"/>
                <w:color w:val="auto"/>
              </w:rPr>
              <w:t>S</w:t>
            </w:r>
            <w:r w:rsidRPr="07C34596" w:rsidR="4760CC88">
              <w:rPr>
                <w:rFonts w:ascii="Calibri" w:hAnsi="Calibri" w:eastAsia="Calibri" w:cs="Calibri"/>
                <w:b w:val="0"/>
                <w:bCs w:val="0"/>
                <w:i w:val="1"/>
                <w:iCs w:val="1"/>
                <w:color w:val="auto"/>
              </w:rPr>
              <w:t xml:space="preserve">tock </w:t>
            </w:r>
            <w:r w:rsidRPr="07C34596" w:rsidR="77E8E885">
              <w:rPr>
                <w:rFonts w:ascii="Calibri" w:hAnsi="Calibri" w:eastAsia="Calibri" w:cs="Calibri"/>
                <w:b w:val="0"/>
                <w:bCs w:val="0"/>
                <w:i w:val="1"/>
                <w:iCs w:val="1"/>
                <w:color w:val="auto"/>
              </w:rPr>
              <w:t>Closing P</w:t>
            </w:r>
            <w:r w:rsidRPr="07C34596" w:rsidR="4760CC88">
              <w:rPr>
                <w:rFonts w:ascii="Calibri" w:hAnsi="Calibri" w:eastAsia="Calibri" w:cs="Calibri"/>
                <w:b w:val="0"/>
                <w:bCs w:val="0"/>
                <w:i w:val="1"/>
                <w:iCs w:val="1"/>
                <w:color w:val="auto"/>
              </w:rPr>
              <w:t>rices</w:t>
            </w:r>
            <w:r w:rsidRPr="07C34596" w:rsidR="4AF58240">
              <w:rPr>
                <w:rFonts w:ascii="Calibri" w:hAnsi="Calibri" w:eastAsia="Calibri" w:cs="Calibri"/>
                <w:b w:val="0"/>
                <w:bCs w:val="0"/>
                <w:i w:val="1"/>
                <w:iCs w:val="1"/>
                <w:color w:val="auto"/>
              </w:rPr>
              <w:t xml:space="preserve"> (Oct-Jan) showing the two periods</w:t>
            </w:r>
          </w:p>
          <w:p w:rsidR="07C34596" w:rsidP="07C34596" w:rsidRDefault="07C34596" w14:paraId="0A827271" w14:textId="0AF25A88">
            <w:pPr>
              <w:pStyle w:val="Normal"/>
              <w:jc w:val="center"/>
            </w:pPr>
          </w:p>
        </w:tc>
      </w:tr>
    </w:tbl>
    <w:p xmlns:wp14="http://schemas.microsoft.com/office/word/2010/wordml" w:rsidP="07C34596" wp14:paraId="6A673AB1" wp14:textId="72A09897">
      <w:pPr>
        <w:pStyle w:val="Normal"/>
      </w:pP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360"/>
      </w:tblGrid>
      <w:tr w:rsidR="07C34596" w:rsidTr="07C34596" w14:paraId="5B152699">
        <w:trPr>
          <w:trHeight w:val="300"/>
        </w:trPr>
        <w:tc>
          <w:tcPr>
            <w:tcW w:w="9360" w:type="dxa"/>
            <w:tcBorders>
              <w:bottom w:val="none" w:color="FFFFFF" w:themeColor="background1" w:sz="4"/>
            </w:tcBorders>
            <w:tcMar/>
          </w:tcPr>
          <w:p w:rsidR="5C876B97" w:rsidP="07C34596" w:rsidRDefault="5C876B97" w14:paraId="33441736" w14:textId="27D1E71A">
            <w:pPr>
              <w:pStyle w:val="Normal"/>
            </w:pPr>
            <w:r w:rsidR="5C876B97">
              <w:drawing>
                <wp:inline wp14:editId="1273F667" wp14:anchorId="3FB80442">
                  <wp:extent cx="5791202" cy="2952750"/>
                  <wp:effectExtent l="0" t="0" r="0" b="0"/>
                  <wp:docPr id="911509508" name="" title=""/>
                  <wp:cNvGraphicFramePr>
                    <a:graphicFrameLocks noChangeAspect="1"/>
                  </wp:cNvGraphicFramePr>
                  <a:graphic>
                    <a:graphicData uri="http://schemas.openxmlformats.org/drawingml/2006/picture">
                      <pic:pic>
                        <pic:nvPicPr>
                          <pic:cNvPr id="0" name=""/>
                          <pic:cNvPicPr/>
                        </pic:nvPicPr>
                        <pic:blipFill>
                          <a:blip r:embed="R6266939c94524714">
                            <a:extLst>
                              <a:ext xmlns:a="http://schemas.openxmlformats.org/drawingml/2006/main" uri="{28A0092B-C50C-407E-A947-70E740481C1C}">
                                <a14:useLocalDpi val="0"/>
                              </a:ext>
                            </a:extLst>
                          </a:blip>
                          <a:stretch>
                            <a:fillRect/>
                          </a:stretch>
                        </pic:blipFill>
                        <pic:spPr>
                          <a:xfrm>
                            <a:off x="0" y="0"/>
                            <a:ext cx="5791202" cy="2952750"/>
                          </a:xfrm>
                          <a:prstGeom prst="rect">
                            <a:avLst/>
                          </a:prstGeom>
                        </pic:spPr>
                      </pic:pic>
                    </a:graphicData>
                  </a:graphic>
                </wp:inline>
              </w:drawing>
            </w:r>
          </w:p>
        </w:tc>
      </w:tr>
      <w:tr w:rsidR="07C34596" w:rsidTr="07C34596" w14:paraId="7370E4FD">
        <w:trPr>
          <w:trHeight w:val="300"/>
        </w:trPr>
        <w:tc>
          <w:tcPr>
            <w:tcW w:w="9360" w:type="dxa"/>
            <w:tcBorders>
              <w:top w:val="none" w:color="FFFFFF" w:themeColor="background1" w:sz="4"/>
              <w:left w:val="none" w:color="FFFFFF" w:themeColor="background1" w:sz="4"/>
              <w:bottom w:val="none" w:color="FFFFFF" w:themeColor="background1" w:sz="4"/>
              <w:right w:val="none" w:color="FFFFFF" w:themeColor="background1" w:sz="4"/>
            </w:tcBorders>
            <w:tcMar/>
          </w:tcPr>
          <w:p w:rsidR="7EE94384" w:rsidP="07C34596" w:rsidRDefault="7EE94384" w14:paraId="0B9F9994" w14:textId="00B3E339">
            <w:pPr>
              <w:pStyle w:val="Normal"/>
              <w:jc w:val="center"/>
              <w:rPr>
                <w:rFonts w:ascii="Calibri" w:hAnsi="Calibri" w:eastAsia="Calibri" w:cs="Calibri"/>
                <w:b w:val="0"/>
                <w:bCs w:val="0"/>
                <w:i w:val="1"/>
                <w:iCs w:val="1"/>
                <w:color w:val="auto"/>
              </w:rPr>
            </w:pPr>
            <w:r w:rsidRPr="07C34596" w:rsidR="7EE94384">
              <w:rPr>
                <w:rFonts w:ascii="Calibri" w:hAnsi="Calibri" w:eastAsia="Calibri" w:cs="Calibri"/>
                <w:b w:val="1"/>
                <w:bCs w:val="1"/>
                <w:i w:val="1"/>
                <w:iCs w:val="1"/>
                <w:color w:val="auto"/>
              </w:rPr>
              <w:t>f</w:t>
            </w:r>
            <w:r w:rsidRPr="07C34596" w:rsidR="3AEB26E8">
              <w:rPr>
                <w:rFonts w:ascii="Calibri" w:hAnsi="Calibri" w:eastAsia="Calibri" w:cs="Calibri"/>
                <w:b w:val="1"/>
                <w:bCs w:val="1"/>
                <w:i w:val="1"/>
                <w:iCs w:val="1"/>
                <w:color w:val="auto"/>
              </w:rPr>
              <w:t xml:space="preserve">ig. 1.1 </w:t>
            </w:r>
            <w:r w:rsidRPr="07C34596" w:rsidR="3AEB26E8">
              <w:rPr>
                <w:rFonts w:ascii="Calibri" w:hAnsi="Calibri" w:eastAsia="Calibri" w:cs="Calibri"/>
                <w:b w:val="0"/>
                <w:bCs w:val="0"/>
                <w:i w:val="1"/>
                <w:iCs w:val="1"/>
                <w:color w:val="auto"/>
              </w:rPr>
              <w:t xml:space="preserve">Starbucks Stock </w:t>
            </w:r>
            <w:r w:rsidRPr="07C34596" w:rsidR="3AEB26E8">
              <w:rPr>
                <w:rFonts w:ascii="Calibri" w:hAnsi="Calibri" w:eastAsia="Calibri" w:cs="Calibri"/>
                <w:b w:val="0"/>
                <w:bCs w:val="0"/>
                <w:i w:val="1"/>
                <w:iCs w:val="1"/>
                <w:color w:val="auto"/>
              </w:rPr>
              <w:t>Closing Prices (Jan-May) showing the two periods</w:t>
            </w:r>
          </w:p>
          <w:p w:rsidR="07C34596" w:rsidP="07C34596" w:rsidRDefault="07C34596" w14:paraId="26D5F6E3" w14:textId="4E9E7FF7">
            <w:pPr>
              <w:pStyle w:val="Normal"/>
              <w:jc w:val="center"/>
              <w:rPr>
                <w:b w:val="0"/>
                <w:bCs w:val="0"/>
                <w:i w:val="1"/>
                <w:iCs w:val="1"/>
                <w:color w:val="auto"/>
              </w:rPr>
            </w:pPr>
          </w:p>
        </w:tc>
      </w:tr>
    </w:tbl>
    <w:p xmlns:wp14="http://schemas.microsoft.com/office/word/2010/wordml" w:rsidP="07C34596" wp14:paraId="0E85F314" wp14:textId="38221EFA">
      <w:pPr>
        <w:rPr>
          <w:b w:val="1"/>
          <w:bCs w:val="1"/>
        </w:rPr>
      </w:pPr>
    </w:p>
    <w:p xmlns:wp14="http://schemas.microsoft.com/office/word/2010/wordml" w:rsidP="07C34596" wp14:paraId="5F20006B" wp14:textId="67D0F63E">
      <w:pPr>
        <w:rPr>
          <w:b w:val="1"/>
          <w:bCs w:val="1"/>
        </w:rPr>
      </w:pPr>
      <w:r w:rsidRPr="07C34596" w:rsidR="6D8FEF0E">
        <w:rPr>
          <w:b w:val="1"/>
          <w:bCs w:val="1"/>
        </w:rPr>
        <w:t>F</w:t>
      </w:r>
      <w:r w:rsidRPr="07C34596" w:rsidR="3AEB26E8">
        <w:rPr>
          <w:b w:val="1"/>
          <w:bCs w:val="1"/>
        </w:rPr>
        <w:t>igures</w:t>
      </w:r>
      <w:r w:rsidRPr="07C34596" w:rsidR="3AEB26E8">
        <w:rPr>
          <w:b w:val="1"/>
          <w:bCs w:val="1"/>
        </w:rPr>
        <w:t xml:space="preserve"> 1.0, 1.1:</w:t>
      </w:r>
    </w:p>
    <w:tbl>
      <w:tblPr>
        <w:tblStyle w:val="TableGrid"/>
        <w:tblW w:w="0" w:type="auto"/>
        <w:tblLayout w:type="fixed"/>
        <w:tblLook w:val="06A0" w:firstRow="1" w:lastRow="0" w:firstColumn="1" w:lastColumn="0" w:noHBand="1" w:noVBand="1"/>
      </w:tblPr>
      <w:tblGrid>
        <w:gridCol w:w="9360"/>
      </w:tblGrid>
      <w:tr w:rsidR="07C34596" w:rsidTr="07C34596" w14:paraId="0DBA9174">
        <w:trPr>
          <w:trHeight w:val="300"/>
        </w:trPr>
        <w:tc>
          <w:tcPr>
            <w:tcW w:w="9360" w:type="dxa"/>
            <w:tcMar/>
          </w:tcPr>
          <w:p w:rsidR="3E26BF8F" w:rsidP="07C34596" w:rsidRDefault="3E26BF8F" w14:paraId="6C54FFE1" w14:textId="03B9AEC6">
            <w:pPr>
              <w:pStyle w:val="Normal"/>
              <w:rPr>
                <w:b w:val="0"/>
                <w:bCs w:val="0"/>
              </w:rPr>
            </w:pPr>
            <w:r w:rsidR="3E26BF8F">
              <w:rPr>
                <w:b w:val="0"/>
                <w:bCs w:val="0"/>
              </w:rPr>
              <w:t>The provided scatter plots offer a comparative analysis of Starbucks stock closing prices over two periods: October to January, and January to May. Each plot contrasts the data from two consecutive years—2022-2023 and 2023-2024—highlighting the variations in stock performance across these timeframes.</w:t>
            </w:r>
          </w:p>
          <w:p w:rsidR="3E26BF8F" w:rsidP="07C34596" w:rsidRDefault="3E26BF8F" w14:paraId="2995F397" w14:textId="32C72DDF">
            <w:pPr>
              <w:pStyle w:val="Normal"/>
              <w:rPr>
                <w:b w:val="0"/>
                <w:bCs w:val="0"/>
              </w:rPr>
            </w:pPr>
            <w:r w:rsidR="3E26BF8F">
              <w:rPr>
                <w:b w:val="0"/>
                <w:bCs w:val="0"/>
              </w:rPr>
              <w:t>October to January (Fig. 1):</w:t>
            </w:r>
          </w:p>
          <w:p w:rsidR="3E26BF8F" w:rsidP="07C34596" w:rsidRDefault="3E26BF8F" w14:paraId="26F99CFB" w14:textId="20A59E16">
            <w:pPr>
              <w:pStyle w:val="Normal"/>
              <w:rPr>
                <w:b w:val="0"/>
                <w:bCs w:val="0"/>
              </w:rPr>
            </w:pPr>
            <w:r w:rsidR="3E26BF8F">
              <w:rPr>
                <w:b w:val="0"/>
                <w:bCs w:val="0"/>
              </w:rPr>
              <w:t>Plot Overview: The first scatter plot illustrates the closing prices from October to January for the periods of 2022-2023 (blue) and 2023-2024 (red).</w:t>
            </w:r>
          </w:p>
          <w:p w:rsidR="3E26BF8F" w:rsidP="07C34596" w:rsidRDefault="3E26BF8F" w14:paraId="531F7CF2" w14:textId="136BB084">
            <w:pPr>
              <w:pStyle w:val="Normal"/>
              <w:rPr>
                <w:b w:val="0"/>
                <w:bCs w:val="0"/>
              </w:rPr>
            </w:pPr>
            <w:r w:rsidR="3E26BF8F">
              <w:rPr>
                <w:b w:val="0"/>
                <w:bCs w:val="0"/>
              </w:rPr>
              <w:t>Key Observations:</w:t>
            </w:r>
          </w:p>
          <w:p w:rsidR="3E26BF8F" w:rsidP="07C34596" w:rsidRDefault="3E26BF8F" w14:paraId="1B0A6386" w14:textId="57B47ED6">
            <w:pPr>
              <w:pStyle w:val="Normal"/>
              <w:rPr>
                <w:b w:val="0"/>
                <w:bCs w:val="0"/>
              </w:rPr>
            </w:pPr>
            <w:r w:rsidR="3E26BF8F">
              <w:rPr>
                <w:b w:val="0"/>
                <w:bCs w:val="0"/>
              </w:rPr>
              <w:t>Initial Levels: In October, the closing prices for 202</w:t>
            </w:r>
            <w:r w:rsidR="3825069B">
              <w:rPr>
                <w:b w:val="0"/>
                <w:bCs w:val="0"/>
              </w:rPr>
              <w:t>2</w:t>
            </w:r>
            <w:r w:rsidR="3E26BF8F">
              <w:rPr>
                <w:b w:val="0"/>
                <w:bCs w:val="0"/>
              </w:rPr>
              <w:t>-202</w:t>
            </w:r>
            <w:r w:rsidR="39813531">
              <w:rPr>
                <w:b w:val="0"/>
                <w:bCs w:val="0"/>
              </w:rPr>
              <w:t>3</w:t>
            </w:r>
            <w:r w:rsidR="3E26BF8F">
              <w:rPr>
                <w:b w:val="0"/>
                <w:bCs w:val="0"/>
              </w:rPr>
              <w:t xml:space="preserve"> start slightly lower compared to 202</w:t>
            </w:r>
            <w:r w:rsidR="3F50942E">
              <w:rPr>
                <w:b w:val="0"/>
                <w:bCs w:val="0"/>
              </w:rPr>
              <w:t>3</w:t>
            </w:r>
            <w:r w:rsidR="3E26BF8F">
              <w:rPr>
                <w:b w:val="0"/>
                <w:bCs w:val="0"/>
              </w:rPr>
              <w:t>-202</w:t>
            </w:r>
            <w:r w:rsidR="0ECC9906">
              <w:rPr>
                <w:b w:val="0"/>
                <w:bCs w:val="0"/>
              </w:rPr>
              <w:t>4</w:t>
            </w:r>
            <w:r w:rsidR="3E26BF8F">
              <w:rPr>
                <w:b w:val="0"/>
                <w:bCs w:val="0"/>
              </w:rPr>
              <w:t>, around 85 to 90.</w:t>
            </w:r>
          </w:p>
          <w:p w:rsidR="3E26BF8F" w:rsidP="07C34596" w:rsidRDefault="3E26BF8F" w14:paraId="50E69735" w14:textId="3D69BC05">
            <w:pPr>
              <w:pStyle w:val="Normal"/>
              <w:rPr>
                <w:b w:val="0"/>
                <w:bCs w:val="0"/>
              </w:rPr>
            </w:pPr>
            <w:r w:rsidR="3E26BF8F">
              <w:rPr>
                <w:b w:val="0"/>
                <w:bCs w:val="0"/>
              </w:rPr>
              <w:t>Trends and Peaks: During the 202</w:t>
            </w:r>
            <w:r w:rsidR="0F3072CD">
              <w:rPr>
                <w:b w:val="0"/>
                <w:bCs w:val="0"/>
              </w:rPr>
              <w:t>3</w:t>
            </w:r>
            <w:r w:rsidR="3E26BF8F">
              <w:rPr>
                <w:b w:val="0"/>
                <w:bCs w:val="0"/>
              </w:rPr>
              <w:t>-202</w:t>
            </w:r>
            <w:r w:rsidR="6EF5D07C">
              <w:rPr>
                <w:b w:val="0"/>
                <w:bCs w:val="0"/>
              </w:rPr>
              <w:t>4</w:t>
            </w:r>
            <w:r w:rsidR="3E26BF8F">
              <w:rPr>
                <w:b w:val="0"/>
                <w:bCs w:val="0"/>
              </w:rPr>
              <w:t xml:space="preserve"> period, the stock prices show a significant upward trend, peaking in December at </w:t>
            </w:r>
            <w:r w:rsidR="158D8895">
              <w:rPr>
                <w:b w:val="0"/>
                <w:bCs w:val="0"/>
              </w:rPr>
              <w:t>over</w:t>
            </w:r>
            <w:r w:rsidR="3E26BF8F">
              <w:rPr>
                <w:b w:val="0"/>
                <w:bCs w:val="0"/>
              </w:rPr>
              <w:t xml:space="preserve"> 105</w:t>
            </w:r>
            <w:r w:rsidR="0A9A3E18">
              <w:rPr>
                <w:b w:val="0"/>
                <w:bCs w:val="0"/>
              </w:rPr>
              <w:t>, then facing a decline</w:t>
            </w:r>
            <w:r w:rsidR="3E26BF8F">
              <w:rPr>
                <w:b w:val="0"/>
                <w:bCs w:val="0"/>
              </w:rPr>
              <w:t>. Conversely, the prices during 202</w:t>
            </w:r>
            <w:r w:rsidR="4052C8B4">
              <w:rPr>
                <w:b w:val="0"/>
                <w:bCs w:val="0"/>
              </w:rPr>
              <w:t>2</w:t>
            </w:r>
            <w:r w:rsidR="3E26BF8F">
              <w:rPr>
                <w:b w:val="0"/>
                <w:bCs w:val="0"/>
              </w:rPr>
              <w:t>-202</w:t>
            </w:r>
            <w:r w:rsidR="4052C8B4">
              <w:rPr>
                <w:b w:val="0"/>
                <w:bCs w:val="0"/>
              </w:rPr>
              <w:t>3</w:t>
            </w:r>
            <w:r w:rsidR="3E26BF8F">
              <w:rPr>
                <w:b w:val="0"/>
                <w:bCs w:val="0"/>
              </w:rPr>
              <w:t xml:space="preserve"> </w:t>
            </w:r>
            <w:r w:rsidR="3E26BF8F">
              <w:rPr>
                <w:b w:val="0"/>
                <w:bCs w:val="0"/>
              </w:rPr>
              <w:t>exhibit</w:t>
            </w:r>
            <w:r w:rsidR="3E26BF8F">
              <w:rPr>
                <w:b w:val="0"/>
                <w:bCs w:val="0"/>
              </w:rPr>
              <w:t xml:space="preserve"> a more stable pattern with minor fluctuations and </w:t>
            </w:r>
            <w:r w:rsidR="2AD40784">
              <w:rPr>
                <w:b w:val="0"/>
                <w:bCs w:val="0"/>
              </w:rPr>
              <w:t>steady</w:t>
            </w:r>
            <w:r w:rsidR="2AD40784">
              <w:rPr>
                <w:b w:val="0"/>
                <w:bCs w:val="0"/>
              </w:rPr>
              <w:t xml:space="preserve"> </w:t>
            </w:r>
            <w:r w:rsidR="3E26BF8F">
              <w:rPr>
                <w:b w:val="0"/>
                <w:bCs w:val="0"/>
              </w:rPr>
              <w:t>upward trend.</w:t>
            </w:r>
          </w:p>
          <w:p w:rsidR="3E26BF8F" w:rsidP="07C34596" w:rsidRDefault="3E26BF8F" w14:paraId="7B1B376D" w14:textId="4D317188">
            <w:pPr>
              <w:pStyle w:val="Normal"/>
              <w:rPr>
                <w:b w:val="0"/>
                <w:bCs w:val="0"/>
              </w:rPr>
            </w:pPr>
            <w:r w:rsidR="3E26BF8F">
              <w:rPr>
                <w:b w:val="0"/>
                <w:bCs w:val="0"/>
              </w:rPr>
              <w:t>Conclusion of the Period: By January, the 2022-2023 prices remain high, around 95 to 100, while the 2023-2024 prices stabilize around 90 to 95.</w:t>
            </w:r>
          </w:p>
          <w:p w:rsidR="3E26BF8F" w:rsidP="07C34596" w:rsidRDefault="3E26BF8F" w14:paraId="4CD55DE9" w14:textId="638D24F1">
            <w:pPr>
              <w:pStyle w:val="Normal"/>
              <w:rPr>
                <w:b w:val="0"/>
                <w:bCs w:val="0"/>
              </w:rPr>
            </w:pPr>
            <w:r w:rsidR="3E26BF8F">
              <w:rPr>
                <w:b w:val="0"/>
                <w:bCs w:val="0"/>
              </w:rPr>
              <w:t>January to May (Fig. 2):</w:t>
            </w:r>
          </w:p>
          <w:p w:rsidR="3E26BF8F" w:rsidP="07C34596" w:rsidRDefault="3E26BF8F" w14:paraId="48106D49" w14:textId="708BA188">
            <w:pPr>
              <w:pStyle w:val="Normal"/>
              <w:rPr>
                <w:b w:val="0"/>
                <w:bCs w:val="0"/>
              </w:rPr>
            </w:pPr>
            <w:r w:rsidR="3E26BF8F">
              <w:rPr>
                <w:b w:val="0"/>
                <w:bCs w:val="0"/>
              </w:rPr>
              <w:t>Plot Overview: The second scatter plot continues from January to May for the same two periods.</w:t>
            </w:r>
          </w:p>
          <w:p w:rsidR="3E26BF8F" w:rsidP="07C34596" w:rsidRDefault="3E26BF8F" w14:paraId="36B181CE" w14:textId="4701F7ED">
            <w:pPr>
              <w:pStyle w:val="Normal"/>
              <w:rPr>
                <w:b w:val="0"/>
                <w:bCs w:val="0"/>
              </w:rPr>
            </w:pPr>
            <w:r w:rsidR="3E26BF8F">
              <w:rPr>
                <w:b w:val="0"/>
                <w:bCs w:val="0"/>
              </w:rPr>
              <w:t>Key Observations:</w:t>
            </w:r>
          </w:p>
          <w:p w:rsidR="3E26BF8F" w:rsidP="07C34596" w:rsidRDefault="3E26BF8F" w14:paraId="31249A03" w14:textId="54857E02">
            <w:pPr>
              <w:pStyle w:val="Normal"/>
              <w:rPr>
                <w:b w:val="0"/>
                <w:bCs w:val="0"/>
              </w:rPr>
            </w:pPr>
            <w:r w:rsidR="3E26BF8F">
              <w:rPr>
                <w:b w:val="0"/>
                <w:bCs w:val="0"/>
              </w:rPr>
              <w:t xml:space="preserve">Continuation and Divergence: The 2022-2023 period shows continued growth with a steady rise, peaking at around 110 in February and </w:t>
            </w:r>
            <w:r w:rsidR="3E26BF8F">
              <w:rPr>
                <w:b w:val="0"/>
                <w:bCs w:val="0"/>
              </w:rPr>
              <w:t>maintaining</w:t>
            </w:r>
            <w:r w:rsidR="3E26BF8F">
              <w:rPr>
                <w:b w:val="0"/>
                <w:bCs w:val="0"/>
              </w:rPr>
              <w:t xml:space="preserve"> </w:t>
            </w:r>
            <w:r w:rsidR="3E26BF8F">
              <w:rPr>
                <w:b w:val="0"/>
                <w:bCs w:val="0"/>
              </w:rPr>
              <w:t>high levels</w:t>
            </w:r>
            <w:r w:rsidR="3E26BF8F">
              <w:rPr>
                <w:b w:val="0"/>
                <w:bCs w:val="0"/>
              </w:rPr>
              <w:t xml:space="preserve"> throughout the period. In contrast, the 2023-2024 prices display a more stable trend, with </w:t>
            </w:r>
            <w:r w:rsidR="3B6617B2">
              <w:rPr>
                <w:b w:val="0"/>
                <w:bCs w:val="0"/>
              </w:rPr>
              <w:t>continuous</w:t>
            </w:r>
            <w:r w:rsidR="3E26BF8F">
              <w:rPr>
                <w:b w:val="0"/>
                <w:bCs w:val="0"/>
              </w:rPr>
              <w:t xml:space="preserve"> decline</w:t>
            </w:r>
            <w:r w:rsidR="57F2E595">
              <w:rPr>
                <w:b w:val="0"/>
                <w:bCs w:val="0"/>
              </w:rPr>
              <w:t>,</w:t>
            </w:r>
            <w:r w:rsidR="3E26BF8F">
              <w:rPr>
                <w:b w:val="0"/>
                <w:bCs w:val="0"/>
              </w:rPr>
              <w:t xml:space="preserve"> </w:t>
            </w:r>
            <w:r w:rsidR="3E26BF8F">
              <w:rPr>
                <w:b w:val="0"/>
                <w:bCs w:val="0"/>
              </w:rPr>
              <w:t>remaining</w:t>
            </w:r>
            <w:r w:rsidR="3E26BF8F">
              <w:rPr>
                <w:b w:val="0"/>
                <w:bCs w:val="0"/>
              </w:rPr>
              <w:t xml:space="preserve"> around 85 to 95.</w:t>
            </w:r>
            <w:r w:rsidR="794B4A4B">
              <w:rPr>
                <w:b w:val="0"/>
                <w:bCs w:val="0"/>
              </w:rPr>
              <w:t xml:space="preserve"> Then a very sharp decline in May.</w:t>
            </w:r>
          </w:p>
          <w:p w:rsidR="3E26BF8F" w:rsidP="07C34596" w:rsidRDefault="3E26BF8F" w14:paraId="09DD563D" w14:textId="45D32F8A">
            <w:pPr>
              <w:pStyle w:val="Normal"/>
              <w:rPr>
                <w:b w:val="0"/>
                <w:bCs w:val="0"/>
              </w:rPr>
            </w:pPr>
            <w:r w:rsidR="3E26BF8F">
              <w:rPr>
                <w:b w:val="0"/>
                <w:bCs w:val="0"/>
              </w:rPr>
              <w:t>Final Comparison: By the end of May, the stock prices for the 2022-2023 period are significantly higher compared to the same period in 2023-2024, indicating a stronger performance in the former period.</w:t>
            </w:r>
          </w:p>
          <w:p w:rsidR="3E26BF8F" w:rsidP="07C34596" w:rsidRDefault="3E26BF8F" w14:paraId="7F70EABE" w14:textId="619C7003">
            <w:pPr>
              <w:pStyle w:val="Normal"/>
              <w:rPr>
                <w:b w:val="0"/>
                <w:bCs w:val="0"/>
              </w:rPr>
            </w:pPr>
            <w:r w:rsidR="3E26BF8F">
              <w:rPr>
                <w:b w:val="0"/>
                <w:bCs w:val="0"/>
              </w:rPr>
              <w:t>Conclusion:</w:t>
            </w:r>
          </w:p>
          <w:p w:rsidR="3E26BF8F" w:rsidP="07C34596" w:rsidRDefault="3E26BF8F" w14:paraId="0F348AA9" w14:textId="1075BFD4">
            <w:pPr>
              <w:pStyle w:val="Normal"/>
              <w:rPr>
                <w:b w:val="0"/>
                <w:bCs w:val="0"/>
              </w:rPr>
            </w:pPr>
            <w:r w:rsidR="3E26BF8F">
              <w:rPr>
                <w:b w:val="0"/>
                <w:bCs w:val="0"/>
              </w:rPr>
              <w:t xml:space="preserve">The comparison between the two periods (October to January and January to May) for the years 2022-2023 and 2023-2024 reveals noticeable differences in the stock price trends. The 2022-2023 period </w:t>
            </w:r>
            <w:r w:rsidR="3E26BF8F">
              <w:rPr>
                <w:b w:val="0"/>
                <w:bCs w:val="0"/>
              </w:rPr>
              <w:t>exhibits</w:t>
            </w:r>
            <w:r w:rsidR="3E26BF8F">
              <w:rPr>
                <w:b w:val="0"/>
                <w:bCs w:val="0"/>
              </w:rPr>
              <w:t xml:space="preserve"> an overall upward trend, while the 2023-2024 period shows</w:t>
            </w:r>
            <w:r w:rsidR="7F5663B5">
              <w:rPr>
                <w:b w:val="0"/>
                <w:bCs w:val="0"/>
              </w:rPr>
              <w:t xml:space="preserve"> </w:t>
            </w:r>
            <w:r w:rsidR="3E26BF8F">
              <w:rPr>
                <w:b w:val="0"/>
                <w:bCs w:val="0"/>
              </w:rPr>
              <w:t>stability but lower overall prices</w:t>
            </w:r>
            <w:r w:rsidR="2966F07D">
              <w:rPr>
                <w:b w:val="0"/>
                <w:bCs w:val="0"/>
              </w:rPr>
              <w:t xml:space="preserve"> until the sharp decline in May</w:t>
            </w:r>
            <w:r w:rsidR="3E26BF8F">
              <w:rPr>
                <w:b w:val="0"/>
                <w:bCs w:val="0"/>
              </w:rPr>
              <w:t xml:space="preserve">. These observations suggest that external factors, such as the boycotting event starting in October 2023, may have negatively </w:t>
            </w:r>
            <w:r w:rsidR="3E26BF8F">
              <w:rPr>
                <w:b w:val="0"/>
                <w:bCs w:val="0"/>
              </w:rPr>
              <w:t>impacted</w:t>
            </w:r>
            <w:r w:rsidR="3E26BF8F">
              <w:rPr>
                <w:b w:val="0"/>
                <w:bCs w:val="0"/>
              </w:rPr>
              <w:t xml:space="preserve"> the stock performance in the latter period.</w:t>
            </w:r>
          </w:p>
        </w:tc>
      </w:tr>
    </w:tbl>
    <w:p xmlns:wp14="http://schemas.microsoft.com/office/word/2010/wordml" w:rsidP="07C34596" wp14:paraId="1E815968" wp14:textId="18017E87">
      <w:pPr>
        <w:pStyle w:val="Normal"/>
      </w:pPr>
    </w:p>
    <w:p xmlns:wp14="http://schemas.microsoft.com/office/word/2010/wordml" w:rsidP="07C34596" wp14:paraId="5DB046CA" wp14:textId="24A60C31">
      <w:pPr>
        <w:pStyle w:val="Normal"/>
      </w:pP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360"/>
      </w:tblGrid>
      <w:tr w:rsidR="07C34596" w:rsidTr="07C34596" w14:paraId="61CCBAB2">
        <w:trPr>
          <w:trHeight w:val="300"/>
        </w:trPr>
        <w:tc>
          <w:tcPr>
            <w:tcW w:w="9360" w:type="dxa"/>
            <w:tcBorders>
              <w:bottom w:val="none" w:color="FFFFFF" w:themeColor="background1" w:sz="4"/>
            </w:tcBorders>
            <w:tcMar/>
          </w:tcPr>
          <w:p w:rsidR="78772934" w:rsidP="07C34596" w:rsidRDefault="78772934" w14:paraId="2E2FC1A7" w14:textId="74EB231C">
            <w:pPr>
              <w:pStyle w:val="Normal"/>
            </w:pPr>
            <w:r w:rsidR="78772934">
              <w:drawing>
                <wp:inline wp14:editId="1F5DCC18" wp14:anchorId="5931683A">
                  <wp:extent cx="5800725" cy="2881770"/>
                  <wp:effectExtent l="0" t="0" r="0" b="0"/>
                  <wp:docPr id="942296096" name="" title=""/>
                  <wp:cNvGraphicFramePr>
                    <a:graphicFrameLocks noChangeAspect="1"/>
                  </wp:cNvGraphicFramePr>
                  <a:graphic>
                    <a:graphicData uri="http://schemas.openxmlformats.org/drawingml/2006/picture">
                      <pic:pic>
                        <pic:nvPicPr>
                          <pic:cNvPr id="0" name=""/>
                          <pic:cNvPicPr/>
                        </pic:nvPicPr>
                        <pic:blipFill>
                          <a:blip r:embed="Rb9a5739a54ad4763">
                            <a:extLst>
                              <a:ext xmlns:a="http://schemas.openxmlformats.org/drawingml/2006/main" uri="{28A0092B-C50C-407E-A947-70E740481C1C}">
                                <a14:useLocalDpi val="0"/>
                              </a:ext>
                            </a:extLst>
                          </a:blip>
                          <a:stretch>
                            <a:fillRect/>
                          </a:stretch>
                        </pic:blipFill>
                        <pic:spPr>
                          <a:xfrm>
                            <a:off x="0" y="0"/>
                            <a:ext cx="5800725" cy="2881770"/>
                          </a:xfrm>
                          <a:prstGeom prst="rect">
                            <a:avLst/>
                          </a:prstGeom>
                        </pic:spPr>
                      </pic:pic>
                    </a:graphicData>
                  </a:graphic>
                </wp:inline>
              </w:drawing>
            </w:r>
          </w:p>
        </w:tc>
      </w:tr>
      <w:tr w:rsidR="07C34596" w:rsidTr="07C34596" w14:paraId="1C848F97">
        <w:trPr>
          <w:trHeight w:val="300"/>
        </w:trPr>
        <w:tc>
          <w:tcPr>
            <w:tcW w:w="9360" w:type="dxa"/>
            <w:tcBorders>
              <w:top w:val="none" w:color="FFFFFF" w:themeColor="background1" w:sz="4"/>
              <w:left w:val="none" w:color="FFFFFF" w:themeColor="background1" w:sz="4"/>
              <w:bottom w:val="none" w:color="FFFFFF" w:themeColor="background1" w:sz="4"/>
              <w:right w:val="none" w:color="FFFFFF" w:themeColor="background1" w:sz="4"/>
            </w:tcBorders>
            <w:tcMar/>
            <w:vAlign w:val="top"/>
          </w:tcPr>
          <w:p w:rsidR="475ACD70" w:rsidP="07C34596" w:rsidRDefault="475ACD70" w14:paraId="26DCD624" w14:textId="726D7475">
            <w:pPr>
              <w:pStyle w:val="Normal"/>
              <w:jc w:val="center"/>
              <w:rPr>
                <w:rFonts w:ascii="Calibri" w:hAnsi="Calibri" w:eastAsia="Calibri" w:cs="Calibri"/>
                <w:i w:val="1"/>
                <w:iCs w:val="1"/>
              </w:rPr>
            </w:pPr>
            <w:r w:rsidRPr="07C34596" w:rsidR="475ACD70">
              <w:rPr>
                <w:rFonts w:ascii="Calibri" w:hAnsi="Calibri" w:eastAsia="Calibri" w:cs="Calibri"/>
                <w:b w:val="1"/>
                <w:bCs w:val="1"/>
                <w:i w:val="1"/>
                <w:iCs w:val="1"/>
              </w:rPr>
              <w:t>f</w:t>
            </w:r>
            <w:r w:rsidRPr="07C34596" w:rsidR="78772934">
              <w:rPr>
                <w:rFonts w:ascii="Calibri" w:hAnsi="Calibri" w:eastAsia="Calibri" w:cs="Calibri"/>
                <w:b w:val="1"/>
                <w:bCs w:val="1"/>
                <w:i w:val="1"/>
                <w:iCs w:val="1"/>
              </w:rPr>
              <w:t xml:space="preserve">ig 1.2 </w:t>
            </w:r>
            <w:r w:rsidRPr="07C34596" w:rsidR="78772934">
              <w:rPr>
                <w:rFonts w:ascii="Calibri" w:hAnsi="Calibri" w:eastAsia="Calibri" w:cs="Calibri"/>
                <w:i w:val="1"/>
                <w:iCs w:val="1"/>
              </w:rPr>
              <w:t xml:space="preserve">Violin Plot of Total Volume comparing the periods Oct 2022 – May 2023 and Oct 2023 – May 2024  </w:t>
            </w:r>
          </w:p>
        </w:tc>
      </w:tr>
    </w:tbl>
    <w:p xmlns:wp14="http://schemas.microsoft.com/office/word/2010/wordml" w:rsidP="07C34596" wp14:paraId="270EBEFA" wp14:textId="159E56B0">
      <w:pPr>
        <w:pStyle w:val="Heading1"/>
        <w:spacing w:before="240" w:beforeAutospacing="off" w:after="0" w:afterAutospacing="off"/>
        <w:ind w:left="0"/>
      </w:pP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360"/>
      </w:tblGrid>
      <w:tr w:rsidR="07C34596" w:rsidTr="07C34596" w14:paraId="31FF2497">
        <w:trPr>
          <w:trHeight w:val="300"/>
        </w:trPr>
        <w:tc>
          <w:tcPr>
            <w:tcW w:w="9360" w:type="dxa"/>
            <w:tcBorders>
              <w:bottom w:val="none" w:color="FFFFFF" w:themeColor="background1" w:sz="4"/>
            </w:tcBorders>
            <w:tcMar/>
          </w:tcPr>
          <w:p w:rsidR="375CE49F" w:rsidP="07C34596" w:rsidRDefault="375CE49F" w14:paraId="5CC01BA0" w14:textId="5680E00E">
            <w:pPr>
              <w:pStyle w:val="Normal"/>
            </w:pPr>
            <w:r w:rsidR="375CE49F">
              <w:drawing>
                <wp:inline wp14:editId="3029C19C" wp14:anchorId="3B514796">
                  <wp:extent cx="5800725" cy="2881770"/>
                  <wp:effectExtent l="0" t="0" r="0" b="0"/>
                  <wp:docPr id="86596100" name="" title=""/>
                  <wp:cNvGraphicFramePr>
                    <a:graphicFrameLocks noChangeAspect="1"/>
                  </wp:cNvGraphicFramePr>
                  <a:graphic>
                    <a:graphicData uri="http://schemas.openxmlformats.org/drawingml/2006/picture">
                      <pic:pic>
                        <pic:nvPicPr>
                          <pic:cNvPr id="0" name=""/>
                          <pic:cNvPicPr/>
                        </pic:nvPicPr>
                        <pic:blipFill>
                          <a:blip r:embed="R76ca8aa580f04117">
                            <a:extLst>
                              <a:ext xmlns:a="http://schemas.openxmlformats.org/drawingml/2006/main" uri="{28A0092B-C50C-407E-A947-70E740481C1C}">
                                <a14:useLocalDpi val="0"/>
                              </a:ext>
                            </a:extLst>
                          </a:blip>
                          <a:stretch>
                            <a:fillRect/>
                          </a:stretch>
                        </pic:blipFill>
                        <pic:spPr>
                          <a:xfrm>
                            <a:off x="0" y="0"/>
                            <a:ext cx="5800725" cy="2881770"/>
                          </a:xfrm>
                          <a:prstGeom prst="rect">
                            <a:avLst/>
                          </a:prstGeom>
                        </pic:spPr>
                      </pic:pic>
                    </a:graphicData>
                  </a:graphic>
                </wp:inline>
              </w:drawing>
            </w:r>
          </w:p>
        </w:tc>
      </w:tr>
      <w:tr w:rsidR="07C34596" w:rsidTr="07C34596" w14:paraId="3D1C04F7">
        <w:trPr>
          <w:trHeight w:val="300"/>
        </w:trPr>
        <w:tc>
          <w:tcPr>
            <w:tcW w:w="9360" w:type="dxa"/>
            <w:tcBorders>
              <w:top w:val="none" w:color="FFFFFF" w:themeColor="background1" w:sz="4"/>
              <w:left w:val="none" w:color="FFFFFF" w:themeColor="background1" w:sz="4"/>
              <w:bottom w:val="none" w:color="FFFFFF" w:themeColor="background1" w:sz="4"/>
              <w:right w:val="none" w:color="FFFFFF" w:themeColor="background1" w:sz="4"/>
            </w:tcBorders>
            <w:shd w:val="clear" w:color="auto" w:fill="FFFFFF" w:themeFill="background1"/>
            <w:tcMar/>
            <w:vAlign w:val="top"/>
          </w:tcPr>
          <w:p w:rsidR="7E9D0F94" w:rsidP="07C34596" w:rsidRDefault="7E9D0F94" w14:paraId="740445D6" w14:textId="11F804D5">
            <w:pPr>
              <w:pStyle w:val="Heading1"/>
              <w:jc w:val="center"/>
              <w:rPr>
                <w:rFonts w:ascii="Calibri" w:hAnsi="Calibri" w:eastAsia="Calibri" w:cs="Calibri"/>
                <w:b w:val="0"/>
                <w:bCs w:val="0"/>
                <w:i w:val="1"/>
                <w:iCs w:val="1"/>
                <w:strike w:val="0"/>
                <w:dstrike w:val="0"/>
                <w:noProof w:val="0"/>
                <w:color w:val="000000" w:themeColor="text1" w:themeTint="FF" w:themeShade="FF"/>
                <w:sz w:val="24"/>
                <w:szCs w:val="24"/>
                <w:u w:val="none"/>
                <w:lang w:val="en-US"/>
              </w:rPr>
            </w:pPr>
            <w:r w:rsidRPr="07C34596" w:rsidR="7E9D0F94">
              <w:rPr>
                <w:rFonts w:ascii="Calibri" w:hAnsi="Calibri" w:eastAsia="Calibri" w:cs="Calibri"/>
                <w:b w:val="1"/>
                <w:bCs w:val="1"/>
                <w:i w:val="1"/>
                <w:iCs w:val="1"/>
                <w:strike w:val="0"/>
                <w:dstrike w:val="0"/>
                <w:noProof w:val="0"/>
                <w:color w:val="000000" w:themeColor="text1" w:themeTint="FF" w:themeShade="FF"/>
                <w:sz w:val="24"/>
                <w:szCs w:val="24"/>
                <w:u w:val="none"/>
                <w:lang w:val="en-US"/>
              </w:rPr>
              <w:t>f</w:t>
            </w:r>
            <w:r w:rsidRPr="07C34596" w:rsidR="375CE49F">
              <w:rPr>
                <w:rFonts w:ascii="Calibri" w:hAnsi="Calibri" w:eastAsia="Calibri" w:cs="Calibri"/>
                <w:b w:val="1"/>
                <w:bCs w:val="1"/>
                <w:i w:val="1"/>
                <w:iCs w:val="1"/>
                <w:strike w:val="0"/>
                <w:dstrike w:val="0"/>
                <w:noProof w:val="0"/>
                <w:color w:val="000000" w:themeColor="text1" w:themeTint="FF" w:themeShade="FF"/>
                <w:sz w:val="24"/>
                <w:szCs w:val="24"/>
                <w:u w:val="none"/>
                <w:lang w:val="en-US"/>
              </w:rPr>
              <w:t>ig 1.</w:t>
            </w:r>
            <w:r w:rsidRPr="07C34596" w:rsidR="5E07D09B">
              <w:rPr>
                <w:rFonts w:ascii="Calibri" w:hAnsi="Calibri" w:eastAsia="Calibri" w:cs="Calibri"/>
                <w:b w:val="1"/>
                <w:bCs w:val="1"/>
                <w:i w:val="1"/>
                <w:iCs w:val="1"/>
                <w:strike w:val="0"/>
                <w:dstrike w:val="0"/>
                <w:noProof w:val="0"/>
                <w:color w:val="000000" w:themeColor="text1" w:themeTint="FF" w:themeShade="FF"/>
                <w:sz w:val="24"/>
                <w:szCs w:val="24"/>
                <w:u w:val="none"/>
                <w:lang w:val="en-US"/>
              </w:rPr>
              <w:t>3</w:t>
            </w:r>
            <w:r w:rsidRPr="07C34596" w:rsidR="375CE49F">
              <w:rPr>
                <w:rFonts w:ascii="Calibri" w:hAnsi="Calibri" w:eastAsia="Calibri" w:cs="Calibri"/>
                <w:b w:val="1"/>
                <w:bCs w:val="1"/>
                <w:i w:val="1"/>
                <w:iCs w:val="1"/>
                <w:strike w:val="0"/>
                <w:dstrike w:val="0"/>
                <w:noProof w:val="0"/>
                <w:color w:val="000000" w:themeColor="text1" w:themeTint="FF" w:themeShade="FF"/>
                <w:sz w:val="24"/>
                <w:szCs w:val="24"/>
                <w:u w:val="none"/>
                <w:lang w:val="en-US"/>
              </w:rPr>
              <w:t xml:space="preserve"> </w:t>
            </w:r>
            <w:r w:rsidRPr="07C34596" w:rsidR="375CE49F">
              <w:rPr>
                <w:rFonts w:ascii="Calibri" w:hAnsi="Calibri" w:eastAsia="Calibri" w:cs="Calibri"/>
                <w:b w:val="0"/>
                <w:bCs w:val="0"/>
                <w:i w:val="1"/>
                <w:iCs w:val="1"/>
                <w:strike w:val="0"/>
                <w:dstrike w:val="0"/>
                <w:noProof w:val="0"/>
                <w:color w:val="000000" w:themeColor="text1" w:themeTint="FF" w:themeShade="FF"/>
                <w:sz w:val="24"/>
                <w:szCs w:val="24"/>
                <w:u w:val="none"/>
                <w:lang w:val="en-US"/>
              </w:rPr>
              <w:t xml:space="preserve">Violin Plot of Total Volume comparing the periods Oct 2022 – May 2023 </w:t>
            </w:r>
            <w:r w:rsidRPr="07C34596" w:rsidR="375CE49F">
              <w:rPr>
                <w:rFonts w:ascii="Calibri" w:hAnsi="Calibri" w:eastAsia="Calibri" w:cs="Calibri"/>
                <w:b w:val="0"/>
                <w:bCs w:val="0"/>
                <w:i w:val="1"/>
                <w:iCs w:val="1"/>
                <w:strike w:val="0"/>
                <w:dstrike w:val="0"/>
                <w:noProof w:val="0"/>
                <w:color w:val="000000" w:themeColor="text1" w:themeTint="FF" w:themeShade="FF"/>
                <w:sz w:val="24"/>
                <w:szCs w:val="24"/>
                <w:u w:val="none"/>
                <w:lang w:val="en-US"/>
              </w:rPr>
              <w:t xml:space="preserve">and </w:t>
            </w:r>
            <w:r w:rsidRPr="07C34596" w:rsidR="790E4571">
              <w:rPr>
                <w:rFonts w:ascii="Calibri" w:hAnsi="Calibri" w:eastAsia="Calibri" w:cs="Calibri"/>
                <w:b w:val="0"/>
                <w:bCs w:val="0"/>
                <w:i w:val="1"/>
                <w:iCs w:val="1"/>
                <w:strike w:val="0"/>
                <w:dstrike w:val="0"/>
                <w:noProof w:val="0"/>
                <w:color w:val="000000" w:themeColor="text1" w:themeTint="FF" w:themeShade="FF"/>
                <w:sz w:val="24"/>
                <w:szCs w:val="24"/>
                <w:u w:val="none"/>
                <w:lang w:val="en-US"/>
              </w:rPr>
              <w:t>Oct 2023 – May 2024</w:t>
            </w:r>
          </w:p>
        </w:tc>
      </w:tr>
    </w:tbl>
    <w:p xmlns:wp14="http://schemas.microsoft.com/office/word/2010/wordml" w:rsidP="07C34596" wp14:paraId="4048BFAC" wp14:textId="72FA3994">
      <w:pPr>
        <w:rPr>
          <w:b w:val="1"/>
          <w:bCs w:val="1"/>
        </w:rPr>
      </w:pPr>
    </w:p>
    <w:p xmlns:wp14="http://schemas.microsoft.com/office/word/2010/wordml" w:rsidP="07C34596" wp14:paraId="3CA505B5" wp14:textId="38FFE5D3">
      <w:pPr>
        <w:rPr>
          <w:b w:val="1"/>
          <w:bCs w:val="1"/>
        </w:rPr>
      </w:pPr>
      <w:r w:rsidRPr="07C34596" w:rsidR="1F840ADF">
        <w:rPr>
          <w:b w:val="1"/>
          <w:bCs w:val="1"/>
        </w:rPr>
        <w:t>F</w:t>
      </w:r>
      <w:r w:rsidRPr="07C34596" w:rsidR="7F29E0CA">
        <w:rPr>
          <w:b w:val="1"/>
          <w:bCs w:val="1"/>
        </w:rPr>
        <w:t>igures 1.2,1.3:</w:t>
      </w:r>
    </w:p>
    <w:p xmlns:wp14="http://schemas.microsoft.com/office/word/2010/wordml" w:rsidP="07C34596" wp14:paraId="6ED95C7A" wp14:textId="142ACA97">
      <w:pPr>
        <w:pBdr>
          <w:top w:val="single" w:color="000000" w:sz="4" w:space="4"/>
          <w:left w:val="single" w:color="000000" w:sz="4" w:space="4"/>
          <w:bottom w:val="single" w:color="000000" w:sz="4" w:space="4"/>
          <w:right w:val="single" w:color="000000" w:sz="4" w:space="4"/>
        </w:pBdr>
        <w:spacing w:before="240" w:beforeAutospacing="off" w:after="240" w:afterAutospacing="off"/>
      </w:pPr>
      <w:r w:rsidRPr="07C34596" w:rsidR="7F29E0CA">
        <w:rPr>
          <w:rFonts w:ascii="Aptos" w:hAnsi="Aptos" w:eastAsia="Aptos" w:cs="Aptos"/>
          <w:noProof w:val="0"/>
          <w:sz w:val="24"/>
          <w:szCs w:val="24"/>
          <w:lang w:val="en-US"/>
        </w:rPr>
        <w:t xml:space="preserve">Volume: The violin plot for volume shows that during the period from October 2022 to May 2023, the trading volume had a narrower distribution centered around lower values, </w:t>
      </w:r>
      <w:r w:rsidRPr="07C34596" w:rsidR="7F29E0CA">
        <w:rPr>
          <w:rFonts w:ascii="Aptos" w:hAnsi="Aptos" w:eastAsia="Aptos" w:cs="Aptos"/>
          <w:noProof w:val="0"/>
          <w:sz w:val="24"/>
          <w:szCs w:val="24"/>
          <w:lang w:val="en-US"/>
        </w:rPr>
        <w:t>indicating</w:t>
      </w:r>
      <w:r w:rsidRPr="07C34596" w:rsidR="7F29E0CA">
        <w:rPr>
          <w:rFonts w:ascii="Aptos" w:hAnsi="Aptos" w:eastAsia="Aptos" w:cs="Aptos"/>
          <w:noProof w:val="0"/>
          <w:sz w:val="24"/>
          <w:szCs w:val="24"/>
          <w:lang w:val="en-US"/>
        </w:rPr>
        <w:t xml:space="preserve"> more consistent and moderate trading activity. Conversely, in the period from October 2023 to May 2024, the distribution of trading volume is broader with a significant peak towards higher volumes. This suggests that trading activity was more volatile with periods of unusually high volume, </w:t>
      </w:r>
      <w:r w:rsidRPr="07C34596" w:rsidR="7F29E0CA">
        <w:rPr>
          <w:rFonts w:ascii="Aptos" w:hAnsi="Aptos" w:eastAsia="Aptos" w:cs="Aptos"/>
          <w:noProof w:val="0"/>
          <w:sz w:val="24"/>
          <w:szCs w:val="24"/>
          <w:lang w:val="en-US"/>
        </w:rPr>
        <w:t>possibly reflecting</w:t>
      </w:r>
      <w:r w:rsidRPr="07C34596" w:rsidR="7F29E0CA">
        <w:rPr>
          <w:rFonts w:ascii="Aptos" w:hAnsi="Aptos" w:eastAsia="Aptos" w:cs="Aptos"/>
          <w:noProof w:val="0"/>
          <w:sz w:val="24"/>
          <w:szCs w:val="24"/>
          <w:lang w:val="en-US"/>
        </w:rPr>
        <w:t xml:space="preserve"> heightened market interest or </w:t>
      </w:r>
      <w:r w:rsidRPr="07C34596" w:rsidR="7F29E0CA">
        <w:rPr>
          <w:rFonts w:ascii="Aptos" w:hAnsi="Aptos" w:eastAsia="Aptos" w:cs="Aptos"/>
          <w:noProof w:val="0"/>
          <w:sz w:val="24"/>
          <w:szCs w:val="24"/>
          <w:lang w:val="en-US"/>
        </w:rPr>
        <w:t>significant events</w:t>
      </w:r>
      <w:r w:rsidRPr="07C34596" w:rsidR="7F29E0CA">
        <w:rPr>
          <w:rFonts w:ascii="Aptos" w:hAnsi="Aptos" w:eastAsia="Aptos" w:cs="Aptos"/>
          <w:noProof w:val="0"/>
          <w:sz w:val="24"/>
          <w:szCs w:val="24"/>
          <w:lang w:val="en-US"/>
        </w:rPr>
        <w:t xml:space="preserve"> influencing trading behavior during this period.</w:t>
      </w:r>
    </w:p>
    <w:p xmlns:wp14="http://schemas.microsoft.com/office/word/2010/wordml" w:rsidP="07C34596" wp14:paraId="0287D5C4" wp14:textId="49CD330F">
      <w:pPr>
        <w:pBdr>
          <w:top w:val="single" w:color="000000" w:sz="4" w:space="4"/>
          <w:left w:val="single" w:color="000000" w:sz="4" w:space="4"/>
          <w:bottom w:val="single" w:color="000000" w:sz="4" w:space="4"/>
          <w:right w:val="single" w:color="000000" w:sz="4" w:space="4"/>
        </w:pBdr>
        <w:spacing w:before="240" w:beforeAutospacing="off" w:after="240" w:afterAutospacing="off"/>
      </w:pPr>
      <w:r w:rsidRPr="07C34596" w:rsidR="7F29E0CA">
        <w:rPr>
          <w:rFonts w:ascii="Aptos" w:hAnsi="Aptos" w:eastAsia="Aptos" w:cs="Aptos"/>
          <w:noProof w:val="0"/>
          <w:sz w:val="24"/>
          <w:szCs w:val="24"/>
          <w:lang w:val="en-US"/>
        </w:rPr>
        <w:t xml:space="preserve">Volatility: The violin plot for volatility reveals that the period from October 2022 to May 2023 </w:t>
      </w:r>
      <w:r w:rsidRPr="07C34596" w:rsidR="7F29E0CA">
        <w:rPr>
          <w:rFonts w:ascii="Aptos" w:hAnsi="Aptos" w:eastAsia="Aptos" w:cs="Aptos"/>
          <w:noProof w:val="0"/>
          <w:sz w:val="24"/>
          <w:szCs w:val="24"/>
          <w:lang w:val="en-US"/>
        </w:rPr>
        <w:t>exhibited</w:t>
      </w:r>
      <w:r w:rsidRPr="07C34596" w:rsidR="7F29E0CA">
        <w:rPr>
          <w:rFonts w:ascii="Aptos" w:hAnsi="Aptos" w:eastAsia="Aptos" w:cs="Aptos"/>
          <w:noProof w:val="0"/>
          <w:sz w:val="24"/>
          <w:szCs w:val="24"/>
          <w:lang w:val="en-US"/>
        </w:rPr>
        <w:t xml:space="preserve"> a </w:t>
      </w:r>
      <w:r w:rsidRPr="07C34596" w:rsidR="7F29E0CA">
        <w:rPr>
          <w:rFonts w:ascii="Aptos" w:hAnsi="Aptos" w:eastAsia="Aptos" w:cs="Aptos"/>
          <w:noProof w:val="0"/>
          <w:sz w:val="24"/>
          <w:szCs w:val="24"/>
          <w:lang w:val="en-US"/>
        </w:rPr>
        <w:t>relatively narrower</w:t>
      </w:r>
      <w:r w:rsidRPr="07C34596" w:rsidR="7F29E0CA">
        <w:rPr>
          <w:rFonts w:ascii="Aptos" w:hAnsi="Aptos" w:eastAsia="Aptos" w:cs="Aptos"/>
          <w:noProof w:val="0"/>
          <w:sz w:val="24"/>
          <w:szCs w:val="24"/>
          <w:lang w:val="en-US"/>
        </w:rPr>
        <w:t xml:space="preserve"> and more consistent range of volatility, suggesting more stable stock price movements. In contrast, the period from October 2023 to May 2024 shows a broader distribution with higher median volatility, </w:t>
      </w:r>
      <w:r w:rsidRPr="07C34596" w:rsidR="7F29E0CA">
        <w:rPr>
          <w:rFonts w:ascii="Aptos" w:hAnsi="Aptos" w:eastAsia="Aptos" w:cs="Aptos"/>
          <w:noProof w:val="0"/>
          <w:sz w:val="24"/>
          <w:szCs w:val="24"/>
          <w:lang w:val="en-US"/>
        </w:rPr>
        <w:t>indicating</w:t>
      </w:r>
      <w:r w:rsidRPr="07C34596" w:rsidR="7F29E0CA">
        <w:rPr>
          <w:rFonts w:ascii="Aptos" w:hAnsi="Aptos" w:eastAsia="Aptos" w:cs="Aptos"/>
          <w:noProof w:val="0"/>
          <w:sz w:val="24"/>
          <w:szCs w:val="24"/>
          <w:lang w:val="en-US"/>
        </w:rPr>
        <w:t xml:space="preserve"> increased fluctuations in stock prices. This period seems to have experienced more pronounced volatility, </w:t>
      </w:r>
      <w:r w:rsidRPr="07C34596" w:rsidR="7F29E0CA">
        <w:rPr>
          <w:rFonts w:ascii="Aptos" w:hAnsi="Aptos" w:eastAsia="Aptos" w:cs="Aptos"/>
          <w:noProof w:val="0"/>
          <w:sz w:val="24"/>
          <w:szCs w:val="24"/>
          <w:lang w:val="en-US"/>
        </w:rPr>
        <w:t>possibly due</w:t>
      </w:r>
      <w:r w:rsidRPr="07C34596" w:rsidR="7F29E0CA">
        <w:rPr>
          <w:rFonts w:ascii="Aptos" w:hAnsi="Aptos" w:eastAsia="Aptos" w:cs="Aptos"/>
          <w:noProof w:val="0"/>
          <w:sz w:val="24"/>
          <w:szCs w:val="24"/>
          <w:lang w:val="en-US"/>
        </w:rPr>
        <w:t xml:space="preserve"> to market reactions to external factors such as the boycott mentioned.</w:t>
      </w:r>
    </w:p>
    <w:p xmlns:wp14="http://schemas.microsoft.com/office/word/2010/wordml" w:rsidP="07C34596" wp14:paraId="6422470B" wp14:textId="1C0208FA">
      <w:pPr>
        <w:pBdr>
          <w:top w:val="single" w:color="000000" w:sz="4" w:space="4"/>
          <w:left w:val="single" w:color="000000" w:sz="4" w:space="4"/>
          <w:bottom w:val="single" w:color="000000" w:sz="4" w:space="4"/>
          <w:right w:val="single" w:color="000000" w:sz="4" w:space="4"/>
        </w:pBdr>
        <w:spacing w:before="240" w:beforeAutospacing="off" w:after="240" w:afterAutospacing="off"/>
        <w:rPr>
          <w:rFonts w:ascii="Aptos" w:hAnsi="Aptos" w:eastAsia="Aptos" w:cs="Aptos"/>
          <w:noProof w:val="0"/>
          <w:sz w:val="24"/>
          <w:szCs w:val="24"/>
          <w:lang w:val="en-US"/>
        </w:rPr>
      </w:pPr>
      <w:r w:rsidRPr="07C34596" w:rsidR="7F29E0CA">
        <w:rPr>
          <w:rFonts w:ascii="Aptos" w:hAnsi="Aptos" w:eastAsia="Aptos" w:cs="Aptos"/>
          <w:noProof w:val="0"/>
          <w:sz w:val="24"/>
          <w:szCs w:val="24"/>
          <w:lang w:val="en-US"/>
        </w:rPr>
        <w:t xml:space="preserve">Analysis: The data </w:t>
      </w:r>
      <w:r w:rsidRPr="07C34596" w:rsidR="7F29E0CA">
        <w:rPr>
          <w:rFonts w:ascii="Aptos" w:hAnsi="Aptos" w:eastAsia="Aptos" w:cs="Aptos"/>
          <w:noProof w:val="0"/>
          <w:sz w:val="24"/>
          <w:szCs w:val="24"/>
          <w:lang w:val="en-US"/>
        </w:rPr>
        <w:t>indicates</w:t>
      </w:r>
      <w:r w:rsidRPr="07C34596" w:rsidR="7F29E0CA">
        <w:rPr>
          <w:rFonts w:ascii="Aptos" w:hAnsi="Aptos" w:eastAsia="Aptos" w:cs="Aptos"/>
          <w:noProof w:val="0"/>
          <w:sz w:val="24"/>
          <w:szCs w:val="24"/>
          <w:lang w:val="en-US"/>
        </w:rPr>
        <w:t xml:space="preserve"> a clear difference in trading behavior and stock price stability between the two periods. The period from October 2023 to May 2024 shows both higher trading volumes and greater volatility. This could be due to significant market events or external factors affecting investor sentiment and behavior. The increased volatility and volume during the latter period suggest a more reactive market, potentially influenced by the </w:t>
      </w:r>
      <w:r w:rsidRPr="07C34596" w:rsidR="3EB81DC6">
        <w:rPr>
          <w:rFonts w:ascii="Aptos" w:hAnsi="Aptos" w:eastAsia="Aptos" w:cs="Aptos"/>
          <w:noProof w:val="0"/>
          <w:sz w:val="24"/>
          <w:szCs w:val="24"/>
          <w:lang w:val="en-US"/>
        </w:rPr>
        <w:t>boycott mentioned</w:t>
      </w:r>
      <w:r w:rsidRPr="07C34596" w:rsidR="7F29E0CA">
        <w:rPr>
          <w:rFonts w:ascii="Aptos" w:hAnsi="Aptos" w:eastAsia="Aptos" w:cs="Aptos"/>
          <w:noProof w:val="0"/>
          <w:sz w:val="24"/>
          <w:szCs w:val="24"/>
          <w:lang w:val="en-US"/>
        </w:rPr>
        <w:t xml:space="preserve"> and other economic factors. These patterns highlight the importance of considering external market conditions and events when analyzing stock performance and investor behavior.</w:t>
      </w:r>
    </w:p>
    <w:p xmlns:wp14="http://schemas.microsoft.com/office/word/2010/wordml" wp14:paraId="1C92FFA7" wp14:textId="1FB6E15C"/>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360"/>
      </w:tblGrid>
      <w:tr w:rsidR="07C34596" w:rsidTr="07C34596" w14:paraId="34059C0D">
        <w:trPr>
          <w:trHeight w:val="300"/>
        </w:trPr>
        <w:tc>
          <w:tcPr>
            <w:tcW w:w="9360" w:type="dxa"/>
            <w:tcMar/>
          </w:tcPr>
          <w:p w:rsidR="49E55C35" w:rsidP="07C34596" w:rsidRDefault="49E55C35" w14:paraId="49202219" w14:textId="0B7F4DE0">
            <w:pPr>
              <w:pStyle w:val="Normal"/>
            </w:pPr>
            <w:r w:rsidR="49E55C35">
              <w:drawing>
                <wp:inline wp14:editId="0B61DC2A" wp14:anchorId="3C2418D0">
                  <wp:extent cx="5800725" cy="4477934"/>
                  <wp:effectExtent l="0" t="0" r="0" b="0"/>
                  <wp:docPr id="226189629" name="" title=""/>
                  <wp:cNvGraphicFramePr>
                    <a:graphicFrameLocks noChangeAspect="1"/>
                  </wp:cNvGraphicFramePr>
                  <a:graphic>
                    <a:graphicData uri="http://schemas.openxmlformats.org/drawingml/2006/picture">
                      <pic:pic>
                        <pic:nvPicPr>
                          <pic:cNvPr id="0" name=""/>
                          <pic:cNvPicPr/>
                        </pic:nvPicPr>
                        <pic:blipFill>
                          <a:blip r:embed="R8f7d14fa3a944b8c">
                            <a:extLst>
                              <a:ext xmlns:a="http://schemas.openxmlformats.org/drawingml/2006/main" uri="{28A0092B-C50C-407E-A947-70E740481C1C}">
                                <a14:useLocalDpi val="0"/>
                              </a:ext>
                            </a:extLst>
                          </a:blip>
                          <a:stretch>
                            <a:fillRect/>
                          </a:stretch>
                        </pic:blipFill>
                        <pic:spPr>
                          <a:xfrm>
                            <a:off x="0" y="0"/>
                            <a:ext cx="5800725" cy="4477934"/>
                          </a:xfrm>
                          <a:prstGeom prst="rect">
                            <a:avLst/>
                          </a:prstGeom>
                        </pic:spPr>
                      </pic:pic>
                    </a:graphicData>
                  </a:graphic>
                </wp:inline>
              </w:drawing>
            </w:r>
          </w:p>
        </w:tc>
      </w:tr>
      <w:tr w:rsidR="07C34596" w:rsidTr="07C34596" w14:paraId="718EFCA4">
        <w:trPr>
          <w:trHeight w:val="300"/>
        </w:trPr>
        <w:tc>
          <w:tcPr>
            <w:tcW w:w="9360" w:type="dxa"/>
            <w:tcMar/>
          </w:tcPr>
          <w:p w:rsidR="49E55C35" w:rsidP="07C34596" w:rsidRDefault="49E55C35" w14:paraId="07EBA39C" w14:textId="42E9C7DA">
            <w:pPr>
              <w:pStyle w:val="Heading1"/>
              <w:jc w:val="center"/>
              <w:rPr>
                <w:rFonts w:ascii="Calibri" w:hAnsi="Calibri" w:eastAsia="Calibri" w:cs="Calibri"/>
                <w:b w:val="0"/>
                <w:bCs w:val="0"/>
                <w:i w:val="1"/>
                <w:iCs w:val="1"/>
                <w:strike w:val="0"/>
                <w:dstrike w:val="0"/>
                <w:noProof w:val="0"/>
                <w:color w:val="000000" w:themeColor="text1" w:themeTint="FF" w:themeShade="FF"/>
                <w:sz w:val="24"/>
                <w:szCs w:val="24"/>
                <w:u w:val="none"/>
                <w:lang w:val="en-US"/>
              </w:rPr>
            </w:pPr>
            <w:r w:rsidRPr="07C34596" w:rsidR="49E55C35">
              <w:rPr>
                <w:rFonts w:ascii="Calibri" w:hAnsi="Calibri" w:eastAsia="Calibri" w:cs="Calibri"/>
                <w:b w:val="1"/>
                <w:bCs w:val="1"/>
                <w:i w:val="1"/>
                <w:iCs w:val="1"/>
                <w:strike w:val="0"/>
                <w:dstrike w:val="0"/>
                <w:noProof w:val="0"/>
                <w:color w:val="000000" w:themeColor="text1" w:themeTint="FF" w:themeShade="FF"/>
                <w:sz w:val="24"/>
                <w:szCs w:val="24"/>
                <w:u w:val="none"/>
                <w:lang w:val="en-US"/>
              </w:rPr>
              <w:t>fig 1.4</w:t>
            </w:r>
            <w:r w:rsidRPr="07C34596" w:rsidR="49E55C35">
              <w:rPr>
                <w:rFonts w:ascii="Calibri" w:hAnsi="Calibri" w:eastAsia="Calibri" w:cs="Calibri"/>
                <w:b w:val="0"/>
                <w:bCs w:val="0"/>
                <w:i w:val="1"/>
                <w:iCs w:val="1"/>
                <w:strike w:val="0"/>
                <w:dstrike w:val="0"/>
                <w:noProof w:val="0"/>
                <w:color w:val="000000" w:themeColor="text1" w:themeTint="FF" w:themeShade="FF"/>
                <w:sz w:val="24"/>
                <w:szCs w:val="24"/>
                <w:u w:val="none"/>
                <w:lang w:val="en-US"/>
              </w:rPr>
              <w:t xml:space="preserve"> Box plots comparing the two periods (2022-2023 and 2023-2024 from Oct to May) in terms of closing prices, volume, and volatility</w:t>
            </w:r>
          </w:p>
        </w:tc>
      </w:tr>
    </w:tbl>
    <w:tbl>
      <w:tblPr>
        <w:tblStyle w:val="TableGrid"/>
        <w:tblW w:w="0" w:type="auto"/>
        <w:tblLayout w:type="fixed"/>
        <w:tblLook w:val="06A0" w:firstRow="1" w:lastRow="0" w:firstColumn="1" w:lastColumn="0" w:noHBand="1" w:noVBand="1"/>
      </w:tblPr>
      <w:tblGrid>
        <w:gridCol w:w="10590"/>
      </w:tblGrid>
      <w:tr w:rsidR="07C34596" w:rsidTr="07C34596" w14:paraId="0D0D58ED">
        <w:trPr>
          <w:trHeight w:val="300"/>
        </w:trPr>
        <w:tc>
          <w:tcPr>
            <w:tcW w:w="10590" w:type="dxa"/>
            <w:tcBorders>
              <w:top w:val="none" w:color="000000" w:themeColor="text1" w:sz="4"/>
              <w:left w:val="none" w:color="000000" w:themeColor="text1" w:sz="4"/>
              <w:bottom w:val="none" w:color="000000" w:themeColor="text1" w:sz="4"/>
              <w:right w:val="none" w:color="000000" w:themeColor="text1" w:sz="4"/>
            </w:tcBorders>
            <w:tcMar/>
          </w:tcPr>
          <w:p w:rsidR="07C34596" w:rsidP="07C34596" w:rsidRDefault="07C34596" w14:paraId="65B3CC1E" w14:textId="41841EBA">
            <w:pPr>
              <w:pStyle w:val="Normal"/>
            </w:pPr>
          </w:p>
        </w:tc>
      </w:tr>
      <w:tr w:rsidR="07C34596" w:rsidTr="07C34596" w14:paraId="67DC1699">
        <w:trPr>
          <w:trHeight w:val="2235"/>
        </w:trPr>
        <w:tc>
          <w:tcPr>
            <w:tcW w:w="10590" w:type="dxa"/>
            <w:tcBorders>
              <w:top w:val="none" w:color="000000" w:themeColor="text1" w:sz="4"/>
              <w:left w:val="none" w:color="000000" w:themeColor="text1" w:sz="4"/>
              <w:bottom w:val="none" w:color="000000" w:themeColor="text1" w:sz="4"/>
              <w:right w:val="none" w:color="000000" w:themeColor="text1" w:sz="4"/>
            </w:tcBorders>
            <w:tcMar/>
          </w:tcPr>
          <w:p w:rsidR="07C34596" w:rsidP="07C34596" w:rsidRDefault="07C34596" w14:paraId="4CB33B1F" w14:textId="3485A953">
            <w:pPr>
              <w:rPr>
                <w:b w:val="1"/>
                <w:bCs w:val="1"/>
              </w:rPr>
            </w:pPr>
          </w:p>
          <w:p w:rsidR="61DBF10A" w:rsidP="07C34596" w:rsidRDefault="61DBF10A" w14:paraId="5B0F82F8" w14:textId="50519534">
            <w:pPr>
              <w:rPr>
                <w:b w:val="1"/>
                <w:bCs w:val="1"/>
              </w:rPr>
            </w:pPr>
            <w:r w:rsidRPr="07C34596" w:rsidR="61DBF10A">
              <w:rPr>
                <w:b w:val="1"/>
                <w:bCs w:val="1"/>
              </w:rPr>
              <w:t>F</w:t>
            </w:r>
            <w:r w:rsidRPr="07C34596" w:rsidR="22F507F4">
              <w:rPr>
                <w:b w:val="1"/>
                <w:bCs w:val="1"/>
              </w:rPr>
              <w:t>igure 1.4:</w:t>
            </w:r>
          </w:p>
          <w:tbl>
            <w:tblPr>
              <w:tblStyle w:val="TableGrid"/>
              <w:tblW w:w="0" w:type="auto"/>
              <w:tblLayout w:type="fixed"/>
              <w:tblLook w:val="06A0" w:firstRow="1" w:lastRow="0" w:firstColumn="1" w:lastColumn="0" w:noHBand="1" w:noVBand="1"/>
            </w:tblPr>
            <w:tblGrid>
              <w:gridCol w:w="10380"/>
            </w:tblGrid>
            <w:tr w:rsidR="07C34596" w:rsidTr="07C34596" w14:paraId="227D3EFD">
              <w:trPr>
                <w:trHeight w:val="300"/>
              </w:trPr>
              <w:tc>
                <w:tcPr>
                  <w:tcW w:w="10380" w:type="dxa"/>
                  <w:tcMar/>
                </w:tcPr>
                <w:p w:rsidR="11B81AE5" w:rsidP="07C34596" w:rsidRDefault="11B81AE5" w14:paraId="790435D6" w14:textId="018586D7">
                  <w:pPr>
                    <w:spacing w:before="240" w:beforeAutospacing="off" w:after="240" w:afterAutospacing="off"/>
                  </w:pPr>
                  <w:r w:rsidRPr="07C34596" w:rsidR="11B81AE5">
                    <w:rPr>
                      <w:rFonts w:ascii="Aptos" w:hAnsi="Aptos" w:eastAsia="Aptos" w:cs="Aptos"/>
                      <w:noProof w:val="0"/>
                      <w:sz w:val="24"/>
                      <w:szCs w:val="24"/>
                      <w:lang w:val="en-US"/>
                    </w:rPr>
                    <w:t>1. Closing Prices:</w:t>
                  </w:r>
                </w:p>
                <w:p w:rsidR="11B81AE5" w:rsidP="07C34596" w:rsidRDefault="11B81AE5" w14:paraId="3E4D6A9F" w14:textId="0FBBC828">
                  <w:pPr>
                    <w:spacing w:before="240" w:beforeAutospacing="off" w:after="240" w:afterAutospacing="off"/>
                  </w:pPr>
                  <w:r w:rsidRPr="07C34596" w:rsidR="11B81AE5">
                    <w:rPr>
                      <w:rFonts w:ascii="Aptos" w:hAnsi="Aptos" w:eastAsia="Aptos" w:cs="Aptos"/>
                      <w:noProof w:val="0"/>
                      <w:sz w:val="24"/>
                      <w:szCs w:val="24"/>
                      <w:lang w:val="en-US"/>
                    </w:rPr>
                    <w:t xml:space="preserve"> - 2022-2023: - The median closing price is around 100. - The interquartile range (IQR) is between approximately 90 and 110. There are several outliers below 90, indicating occasional lower closing prices.</w:t>
                  </w:r>
                </w:p>
                <w:p w:rsidR="11B81AE5" w:rsidP="07C34596" w:rsidRDefault="11B81AE5" w14:paraId="48F83800" w14:textId="6199F6F6">
                  <w:pPr>
                    <w:spacing w:before="240" w:beforeAutospacing="off" w:after="240" w:afterAutospacing="off"/>
                  </w:pPr>
                  <w:r w:rsidRPr="07C34596" w:rsidR="11B81AE5">
                    <w:rPr>
                      <w:rFonts w:ascii="Aptos" w:hAnsi="Aptos" w:eastAsia="Aptos" w:cs="Aptos"/>
                      <w:noProof w:val="0"/>
                      <w:sz w:val="24"/>
                      <w:szCs w:val="24"/>
                      <w:lang w:val="en-US"/>
                    </w:rPr>
                    <w:t xml:space="preserve">- 2023-2024: - The median closing price is slightly lower, around 95. - The IQR is between approximately 85 and 105. - There are more outliers below 85, indicating increased instances of lower closing prices. </w:t>
                  </w:r>
                </w:p>
                <w:p w:rsidR="11B81AE5" w:rsidP="07C34596" w:rsidRDefault="11B81AE5" w14:paraId="578490A5" w14:textId="369345AD">
                  <w:pPr>
                    <w:spacing w:before="240" w:beforeAutospacing="off" w:after="240" w:afterAutospacing="off"/>
                  </w:pPr>
                  <w:r w:rsidRPr="07C34596" w:rsidR="11B81AE5">
                    <w:rPr>
                      <w:rFonts w:ascii="Aptos" w:hAnsi="Aptos" w:eastAsia="Aptos" w:cs="Aptos"/>
                      <w:noProof w:val="0"/>
                      <w:sz w:val="24"/>
                      <w:szCs w:val="24"/>
                      <w:lang w:val="en-US"/>
                    </w:rPr>
                    <w:t>- Comparison: - The median closing price has decreased from 2022-2023 to 2023-2024. - The IQR has shifted downward, indicating a general decline in closing prices. - The number of outliers has increased, suggesting more frequent low closing prices in 2023-2024.</w:t>
                  </w:r>
                </w:p>
                <w:p w:rsidR="11B81AE5" w:rsidP="07C34596" w:rsidRDefault="11B81AE5" w14:paraId="449E35B9" w14:textId="2B6F209A">
                  <w:pPr>
                    <w:spacing w:before="240" w:beforeAutospacing="off" w:after="240" w:afterAutospacing="off"/>
                  </w:pPr>
                  <w:r w:rsidRPr="07C34596" w:rsidR="11B81AE5">
                    <w:rPr>
                      <w:rFonts w:ascii="Aptos" w:hAnsi="Aptos" w:eastAsia="Aptos" w:cs="Aptos"/>
                      <w:noProof w:val="0"/>
                      <w:sz w:val="24"/>
                      <w:szCs w:val="24"/>
                      <w:lang w:val="en-US"/>
                    </w:rPr>
                    <w:t>2. Volume: - 2022-2023: - The median trading volume is relatively low. - The IQR is very tight around the median, indicating low variability in volume. - There are several significant outliers, indicating occasional high trading volumes. - 2023-2024: - The median trading volume remains low and similar to 2022-2023. - The IQR is slightly wider but still indicates low variability. - There are fewer significant outliers compared to 2022-2023.</w:t>
                  </w:r>
                </w:p>
                <w:p w:rsidR="11B81AE5" w:rsidP="07C34596" w:rsidRDefault="11B81AE5" w14:paraId="41221CEB" w14:textId="6DDE1E93">
                  <w:pPr>
                    <w:spacing w:before="240" w:beforeAutospacing="off" w:after="240" w:afterAutospacing="off"/>
                  </w:pPr>
                  <w:r w:rsidRPr="07C34596" w:rsidR="11B81AE5">
                    <w:rPr>
                      <w:rFonts w:ascii="Aptos" w:hAnsi="Aptos" w:eastAsia="Aptos" w:cs="Aptos"/>
                      <w:noProof w:val="0"/>
                      <w:sz w:val="24"/>
                      <w:szCs w:val="24"/>
                      <w:lang w:val="en-US"/>
                    </w:rPr>
                    <w:t xml:space="preserve"> - Comparison: - The trading volume in both periods shows low median values with occasional spikes. - The 2022-2023 period has more significant outliers, suggesting occasional high trading activity. - The 2023-2024 period has fewer outliers, indicating steadier trading behavior.</w:t>
                  </w:r>
                </w:p>
                <w:p w:rsidR="11B81AE5" w:rsidP="07C34596" w:rsidRDefault="11B81AE5" w14:paraId="7ADC2389" w14:textId="0EA51B3D">
                  <w:pPr>
                    <w:spacing w:before="240" w:beforeAutospacing="off" w:after="240" w:afterAutospacing="off"/>
                  </w:pPr>
                  <w:r w:rsidRPr="07C34596" w:rsidR="11B81AE5">
                    <w:rPr>
                      <w:rFonts w:ascii="Aptos" w:hAnsi="Aptos" w:eastAsia="Aptos" w:cs="Aptos"/>
                      <w:noProof w:val="0"/>
                      <w:sz w:val="24"/>
                      <w:szCs w:val="24"/>
                      <w:lang w:val="en-US"/>
                    </w:rPr>
                    <w:t>3. Volatility: - 2022-2023: - The median volatility is around 0.3. - The IQR is between approximately 0.2 and 0.4, indicating moderate variability in volatility. - There are few outliers, indicating consistent volatility levels. - 2023-2024: - The median volatility is similar, around 0.3. - The IQR is slightly narrower, indicating more consistent volatility. - There are no significant outliers, suggesting stable volatility levels. - Comparison: - The volatility levels are similar in both periods, with a slight reduction in variability in 2023-2024. - The absence of significant outliers in 2023-2024 indicates more stable volatility compared to 2022-2023.</w:t>
                  </w:r>
                </w:p>
                <w:p w:rsidR="11B81AE5" w:rsidP="07C34596" w:rsidRDefault="11B81AE5" w14:paraId="3FF48611" w14:textId="41EDE42D">
                  <w:pPr>
                    <w:spacing w:before="240" w:beforeAutospacing="off" w:after="240" w:afterAutospacing="off"/>
                  </w:pPr>
                  <w:r w:rsidRPr="07C34596" w:rsidR="11B81AE5">
                    <w:rPr>
                      <w:rFonts w:ascii="Aptos" w:hAnsi="Aptos" w:eastAsia="Aptos" w:cs="Aptos"/>
                      <w:noProof w:val="0"/>
                      <w:sz w:val="24"/>
                      <w:szCs w:val="24"/>
                      <w:lang w:val="en-US"/>
                    </w:rPr>
                    <w:t>Summary: - Closing Prices: The stock prices have decreased in 2023-2024 compared to 2022-2023, with a shift in the median and IQR downward. - Volume: There is low variability in trading volume for both periods, with occasional spikes. The 2023-2024 period shows fewer significant outliers. - Volatility: The volatility levels are consistent between the two periods, with a slight reduction in variability in 2023-2024.</w:t>
                  </w:r>
                </w:p>
                <w:p w:rsidR="11B81AE5" w:rsidP="07C34596" w:rsidRDefault="11B81AE5" w14:paraId="17892A80" w14:textId="125DE537">
                  <w:pPr>
                    <w:spacing w:before="240" w:beforeAutospacing="off" w:after="240" w:afterAutospacing="off"/>
                  </w:pPr>
                  <w:r w:rsidRPr="07C34596" w:rsidR="11B81AE5">
                    <w:rPr>
                      <w:rFonts w:ascii="Aptos" w:hAnsi="Aptos" w:eastAsia="Aptos" w:cs="Aptos"/>
                      <w:noProof w:val="0"/>
                      <w:sz w:val="24"/>
                      <w:szCs w:val="24"/>
                      <w:lang w:val="en-US"/>
                    </w:rPr>
                    <w:t>Interpretation: - The downward shift in closing prices and the decrease in the number of outliers suggest a less favorable market sentiment or performance for Starbucks in the 2023-2024 period compared to 2022-2023. - The low variability in trading volume and the absence of significant outliers in 2023-2024 indicate steadier trading behavior. - The consistent volatility levels with reduced variability in 2023-2024 suggest a stable market environment with fewer extreme price movements.</w:t>
                  </w:r>
                </w:p>
                <w:p w:rsidR="11B81AE5" w:rsidP="07C34596" w:rsidRDefault="11B81AE5" w14:paraId="7E07EB8F" w14:textId="29FFCAE3">
                  <w:pPr>
                    <w:spacing w:before="240" w:beforeAutospacing="off" w:after="240" w:afterAutospacing="off"/>
                  </w:pPr>
                  <w:r w:rsidRPr="07C34596" w:rsidR="11B81AE5">
                    <w:rPr>
                      <w:rFonts w:ascii="Aptos" w:hAnsi="Aptos" w:eastAsia="Aptos" w:cs="Aptos"/>
                      <w:noProof w:val="0"/>
                      <w:sz w:val="24"/>
                      <w:szCs w:val="24"/>
                      <w:lang w:val="en-US"/>
                    </w:rPr>
                    <w:t xml:space="preserve">These observations </w:t>
                  </w:r>
                  <w:r w:rsidRPr="07C34596" w:rsidR="11B81AE5">
                    <w:rPr>
                      <w:rFonts w:ascii="Aptos" w:hAnsi="Aptos" w:eastAsia="Aptos" w:cs="Aptos"/>
                      <w:noProof w:val="0"/>
                      <w:sz w:val="24"/>
                      <w:szCs w:val="24"/>
                      <w:lang w:val="en-US"/>
                    </w:rPr>
                    <w:t>provide</w:t>
                  </w:r>
                  <w:r w:rsidRPr="07C34596" w:rsidR="11B81AE5">
                    <w:rPr>
                      <w:rFonts w:ascii="Aptos" w:hAnsi="Aptos" w:eastAsia="Aptos" w:cs="Aptos"/>
                      <w:noProof w:val="0"/>
                      <w:sz w:val="24"/>
                      <w:szCs w:val="24"/>
                      <w:lang w:val="en-US"/>
                    </w:rPr>
                    <w:t xml:space="preserve"> valuable insights into the changes in stock performance and market behavior for Starbucks over the two periods.</w:t>
                  </w:r>
                </w:p>
              </w:tc>
            </w:tr>
          </w:tbl>
          <w:p w:rsidR="07C34596" w:rsidP="07C34596" w:rsidRDefault="07C34596" w14:paraId="4FBF6FF3" w14:textId="65638CA8">
            <w:pPr>
              <w:pStyle w:val="Heading1"/>
              <w:spacing w:before="240" w:beforeAutospacing="off" w:after="0" w:afterAutospacing="off"/>
              <w:ind w:left="0"/>
              <w:rPr>
                <w:rFonts w:ascii="Calibri" w:hAnsi="Calibri" w:eastAsia="Calibri" w:cs="Calibri"/>
                <w:b w:val="0"/>
                <w:bCs w:val="0"/>
                <w:i w:val="0"/>
                <w:iCs w:val="0"/>
                <w:strike w:val="0"/>
                <w:dstrike w:val="0"/>
                <w:noProof w:val="0"/>
                <w:color w:val="2F5496"/>
                <w:sz w:val="32"/>
                <w:szCs w:val="32"/>
                <w:u w:val="none"/>
                <w:lang w:val="en-US"/>
              </w:rPr>
            </w:pPr>
          </w:p>
          <w:p w:rsidR="6EE5BC20" w:rsidP="07C34596" w:rsidRDefault="6EE5BC20" w14:paraId="693AE9BB" w14:textId="769BAA96">
            <w:pPr>
              <w:pStyle w:val="Heading1"/>
              <w:spacing w:before="240" w:beforeAutospacing="off" w:after="0" w:afterAutospacing="off"/>
              <w:ind w:left="0"/>
              <w:rPr>
                <w:rFonts w:ascii="Calibri" w:hAnsi="Calibri" w:eastAsia="Calibri" w:cs="Calibri"/>
                <w:b w:val="0"/>
                <w:bCs w:val="0"/>
                <w:i w:val="0"/>
                <w:iCs w:val="0"/>
                <w:strike w:val="0"/>
                <w:dstrike w:val="0"/>
                <w:noProof w:val="0"/>
                <w:color w:val="2F5496"/>
                <w:sz w:val="32"/>
                <w:szCs w:val="32"/>
                <w:u w:val="none"/>
                <w:lang w:val="en-US"/>
              </w:rPr>
            </w:pPr>
            <w:r w:rsidRPr="07C34596" w:rsidR="6EE5BC20">
              <w:rPr>
                <w:rFonts w:ascii="Calibri" w:hAnsi="Calibri" w:eastAsia="Calibri" w:cs="Calibri"/>
                <w:b w:val="0"/>
                <w:bCs w:val="0"/>
                <w:i w:val="0"/>
                <w:iCs w:val="0"/>
                <w:strike w:val="0"/>
                <w:dstrike w:val="0"/>
                <w:noProof w:val="0"/>
                <w:color w:val="2F5496"/>
                <w:sz w:val="32"/>
                <w:szCs w:val="32"/>
                <w:u w:val="none"/>
                <w:lang w:val="en-US"/>
              </w:rPr>
              <w:t>Competitor analysis:</w:t>
            </w:r>
          </w:p>
          <w:p w:rsidR="07C34596" w:rsidP="07C34596" w:rsidRDefault="07C34596" w14:paraId="7E12A89E" w14:textId="23B010FA">
            <w:pPr>
              <w:pStyle w:val="Normal"/>
              <w:rPr>
                <w:noProof w:val="0"/>
                <w:lang w:val="en-US"/>
              </w:rPr>
            </w:pPr>
          </w:p>
          <w:p w:rsidR="03243598" w:rsidP="07C34596" w:rsidRDefault="03243598" w14:paraId="68E2E667" w14:textId="581F3840">
            <w:pPr>
              <w:pStyle w:val="Normal"/>
              <w:rPr>
                <w:rFonts w:ascii="Times New Roman" w:hAnsi="Times New Roman" w:eastAsia="Times New Roman" w:cs="Times New Roman"/>
                <w:noProof w:val="0"/>
                <w:lang w:val="en-US"/>
              </w:rPr>
            </w:pPr>
            <w:r w:rsidRPr="07C34596" w:rsidR="03243598">
              <w:rPr>
                <w:rFonts w:ascii="Times New Roman" w:hAnsi="Times New Roman" w:eastAsia="Times New Roman" w:cs="Times New Roman"/>
                <w:noProof w:val="0"/>
                <w:lang w:val="en-US"/>
              </w:rPr>
              <w:t xml:space="preserve">In this section, we compare the closing stock prices of Starbucks with one of their biggest competitors, Costa Coffee. The goal is to </w:t>
            </w:r>
            <w:r w:rsidRPr="07C34596" w:rsidR="03243598">
              <w:rPr>
                <w:rFonts w:ascii="Times New Roman" w:hAnsi="Times New Roman" w:eastAsia="Times New Roman" w:cs="Times New Roman"/>
                <w:noProof w:val="0"/>
                <w:lang w:val="en-US"/>
              </w:rPr>
              <w:t>identify</w:t>
            </w:r>
            <w:r w:rsidRPr="07C34596" w:rsidR="03243598">
              <w:rPr>
                <w:rFonts w:ascii="Times New Roman" w:hAnsi="Times New Roman" w:eastAsia="Times New Roman" w:cs="Times New Roman"/>
                <w:noProof w:val="0"/>
                <w:lang w:val="en-US"/>
              </w:rPr>
              <w:t xml:space="preserve"> and </w:t>
            </w:r>
            <w:r w:rsidRPr="07C34596" w:rsidR="03243598">
              <w:rPr>
                <w:rFonts w:ascii="Times New Roman" w:hAnsi="Times New Roman" w:eastAsia="Times New Roman" w:cs="Times New Roman"/>
                <w:noProof w:val="0"/>
                <w:lang w:val="en-US"/>
              </w:rPr>
              <w:t>eliminate</w:t>
            </w:r>
            <w:r w:rsidRPr="07C34596" w:rsidR="03243598">
              <w:rPr>
                <w:rFonts w:ascii="Times New Roman" w:hAnsi="Times New Roman" w:eastAsia="Times New Roman" w:cs="Times New Roman"/>
                <w:noProof w:val="0"/>
                <w:lang w:val="en-US"/>
              </w:rPr>
              <w:t xml:space="preserve"> potential confounding variables, providing a clearer understanding of whether any economic trends have </w:t>
            </w:r>
            <w:r w:rsidRPr="07C34596" w:rsidR="03243598">
              <w:rPr>
                <w:rFonts w:ascii="Times New Roman" w:hAnsi="Times New Roman" w:eastAsia="Times New Roman" w:cs="Times New Roman"/>
                <w:noProof w:val="0"/>
                <w:lang w:val="en-US"/>
              </w:rPr>
              <w:t>impacted</w:t>
            </w:r>
            <w:r w:rsidRPr="07C34596" w:rsidR="03243598">
              <w:rPr>
                <w:rFonts w:ascii="Times New Roman" w:hAnsi="Times New Roman" w:eastAsia="Times New Roman" w:cs="Times New Roman"/>
                <w:noProof w:val="0"/>
                <w:lang w:val="en-US"/>
              </w:rPr>
              <w:t xml:space="preserve"> the entire coffee industry or if the observed changes are specific to Starbucks. This comparison aims to discern broader economic influences from factors that may be unique to Starbucks, such as the boycotting event starting in October 2023. By analyzing both companies' stock performances over the same period, we can better isolate the effects of industry-wide economic trends from company-specific events.</w:t>
            </w:r>
          </w:p>
          <w:p w:rsidR="07C34596" w:rsidP="07C34596" w:rsidRDefault="07C34596" w14:paraId="1E256A1D" w14:textId="0320E718">
            <w:pPr>
              <w:pStyle w:val="Normal"/>
              <w:rPr>
                <w:rFonts w:ascii="Times New Roman" w:hAnsi="Times New Roman" w:eastAsia="Times New Roman" w:cs="Times New Roman"/>
                <w:noProof w:val="0"/>
                <w:lang w:val="en-US"/>
              </w:rPr>
            </w:pPr>
          </w:p>
          <w:p w:rsidR="07C34596" w:rsidP="07C34596" w:rsidRDefault="07C34596" w14:paraId="64F2818C" w14:textId="138503C7">
            <w:pPr>
              <w:pStyle w:val="Normal"/>
              <w:rPr>
                <w:rFonts w:ascii="Times New Roman" w:hAnsi="Times New Roman" w:eastAsia="Times New Roman" w:cs="Times New Roman"/>
                <w:noProof w:val="0"/>
                <w:lang w:val="en-US"/>
              </w:rPr>
            </w:pP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150"/>
            </w:tblGrid>
            <w:tr w:rsidR="07C34596" w:rsidTr="07C34596" w14:paraId="273B1CF3">
              <w:trPr>
                <w:trHeight w:val="300"/>
              </w:trPr>
              <w:tc>
                <w:tcPr>
                  <w:tcW w:w="9150" w:type="dxa"/>
                  <w:tcMar/>
                </w:tcPr>
                <w:p w:rsidR="07313611" w:rsidP="07C34596" w:rsidRDefault="07313611" w14:paraId="760DB725" w14:textId="64ABF2DD">
                  <w:pPr>
                    <w:pStyle w:val="Normal"/>
                  </w:pPr>
                  <w:r w:rsidR="07313611">
                    <w:drawing>
                      <wp:inline wp14:editId="7A469730" wp14:anchorId="63B724A4">
                        <wp:extent cx="5667375" cy="5258584"/>
                        <wp:effectExtent l="0" t="0" r="0" b="0"/>
                        <wp:docPr id="2114591917" name="" title=""/>
                        <wp:cNvGraphicFramePr>
                          <a:graphicFrameLocks noChangeAspect="1"/>
                        </wp:cNvGraphicFramePr>
                        <a:graphic>
                          <a:graphicData uri="http://schemas.openxmlformats.org/drawingml/2006/picture">
                            <pic:pic>
                              <pic:nvPicPr>
                                <pic:cNvPr id="0" name=""/>
                                <pic:cNvPicPr/>
                              </pic:nvPicPr>
                              <pic:blipFill>
                                <a:blip r:embed="R3818cc0436a84a30">
                                  <a:extLst>
                                    <a:ext xmlns:a="http://schemas.openxmlformats.org/drawingml/2006/main" uri="{28A0092B-C50C-407E-A947-70E740481C1C}">
                                      <a14:useLocalDpi val="0"/>
                                    </a:ext>
                                  </a:extLst>
                                </a:blip>
                                <a:stretch>
                                  <a:fillRect/>
                                </a:stretch>
                              </pic:blipFill>
                              <pic:spPr>
                                <a:xfrm>
                                  <a:off x="0" y="0"/>
                                  <a:ext cx="5667375" cy="5258584"/>
                                </a:xfrm>
                                <a:prstGeom prst="rect">
                                  <a:avLst/>
                                </a:prstGeom>
                              </pic:spPr>
                            </pic:pic>
                          </a:graphicData>
                        </a:graphic>
                      </wp:inline>
                    </w:drawing>
                  </w:r>
                </w:p>
              </w:tc>
            </w:tr>
            <w:tr w:rsidR="07C34596" w:rsidTr="07C34596" w14:paraId="43B0AF94">
              <w:trPr>
                <w:trHeight w:val="300"/>
              </w:trPr>
              <w:tc>
                <w:tcPr>
                  <w:tcW w:w="9150" w:type="dxa"/>
                  <w:tcMar/>
                  <w:vAlign w:val="top"/>
                </w:tcPr>
                <w:p w:rsidR="549254D5" w:rsidP="07C34596" w:rsidRDefault="549254D5" w14:paraId="6342973C" w14:textId="60D874EC">
                  <w:pPr>
                    <w:pStyle w:val="Normal"/>
                    <w:jc w:val="center"/>
                    <w:rPr>
                      <w:rFonts w:ascii="Times New Roman" w:hAnsi="Times New Roman" w:eastAsia="Times New Roman" w:cs="Times New Roman"/>
                      <w:i w:val="1"/>
                      <w:iCs w:val="1"/>
                      <w:noProof w:val="0"/>
                      <w:lang w:val="en-US"/>
                    </w:rPr>
                  </w:pPr>
                  <w:r w:rsidRPr="07C34596" w:rsidR="549254D5">
                    <w:rPr>
                      <w:rFonts w:ascii="Times New Roman" w:hAnsi="Times New Roman" w:eastAsia="Times New Roman" w:cs="Times New Roman"/>
                      <w:b w:val="1"/>
                      <w:bCs w:val="1"/>
                      <w:i w:val="1"/>
                      <w:iCs w:val="1"/>
                      <w:noProof w:val="0"/>
                      <w:lang w:val="en-US"/>
                    </w:rPr>
                    <w:t>f</w:t>
                  </w:r>
                  <w:r w:rsidRPr="07C34596" w:rsidR="07313611">
                    <w:rPr>
                      <w:rFonts w:ascii="Times New Roman" w:hAnsi="Times New Roman" w:eastAsia="Times New Roman" w:cs="Times New Roman"/>
                      <w:b w:val="1"/>
                      <w:bCs w:val="1"/>
                      <w:i w:val="1"/>
                      <w:iCs w:val="1"/>
                      <w:noProof w:val="0"/>
                      <w:lang w:val="en-US"/>
                    </w:rPr>
                    <w:t>ig 1.5</w:t>
                  </w:r>
                  <w:r w:rsidRPr="07C34596" w:rsidR="07313611">
                    <w:rPr>
                      <w:rFonts w:ascii="Times New Roman" w:hAnsi="Times New Roman" w:eastAsia="Times New Roman" w:cs="Times New Roman"/>
                      <w:i w:val="1"/>
                      <w:iCs w:val="1"/>
                      <w:noProof w:val="0"/>
                      <w:lang w:val="en-US"/>
                    </w:rPr>
                    <w:t xml:space="preserve"> Computing the Stock prices of Costa Coffee to the </w:t>
                  </w:r>
                  <w:r w:rsidRPr="07C34596" w:rsidR="599E893E">
                    <w:rPr>
                      <w:rFonts w:ascii="Times New Roman" w:hAnsi="Times New Roman" w:eastAsia="Times New Roman" w:cs="Times New Roman"/>
                      <w:i w:val="1"/>
                      <w:iCs w:val="1"/>
                      <w:noProof w:val="0"/>
                      <w:lang w:val="en-US"/>
                    </w:rPr>
                    <w:t>Starbucks</w:t>
                  </w:r>
                </w:p>
              </w:tc>
            </w:tr>
          </w:tbl>
          <w:p w:rsidR="07C34596" w:rsidP="07C34596" w:rsidRDefault="07C34596" w14:paraId="428C03D5" w14:textId="76BEF139">
            <w:pPr>
              <w:pStyle w:val="Normal"/>
              <w:rPr>
                <w:rFonts w:ascii="Times New Roman" w:hAnsi="Times New Roman" w:eastAsia="Times New Roman" w:cs="Times New Roman"/>
                <w:noProof w:val="0"/>
                <w:lang w:val="en-US"/>
              </w:rPr>
            </w:pPr>
          </w:p>
          <w:p w:rsidR="2AAE2880" w:rsidP="07C34596" w:rsidRDefault="2AAE2880" w14:paraId="7ADFE5B1" w14:textId="6D1785ED">
            <w:pPr>
              <w:pStyle w:val="Normal"/>
              <w:rPr>
                <w:b w:val="1"/>
                <w:bCs w:val="1"/>
              </w:rPr>
            </w:pPr>
            <w:r w:rsidRPr="07C34596" w:rsidR="2AAE2880">
              <w:rPr>
                <w:b w:val="1"/>
                <w:bCs w:val="1"/>
              </w:rPr>
              <w:t>Figure 1.5:</w:t>
            </w:r>
          </w:p>
          <w:tbl>
            <w:tblPr>
              <w:tblStyle w:val="TableGrid"/>
              <w:tblW w:w="0" w:type="auto"/>
              <w:tblLayout w:type="fixed"/>
              <w:tblLook w:val="06A0" w:firstRow="1" w:lastRow="0" w:firstColumn="1" w:lastColumn="0" w:noHBand="1" w:noVBand="1"/>
            </w:tblPr>
            <w:tblGrid>
              <w:gridCol w:w="9150"/>
            </w:tblGrid>
            <w:tr w:rsidR="07C34596" w:rsidTr="07C34596" w14:paraId="3A0B96F3">
              <w:trPr>
                <w:trHeight w:val="300"/>
              </w:trPr>
              <w:tc>
                <w:tcPr>
                  <w:tcW w:w="9150" w:type="dxa"/>
                  <w:tcMar/>
                </w:tcPr>
                <w:p w:rsidR="574FB9AD" w:rsidP="07C34596" w:rsidRDefault="574FB9AD" w14:paraId="73255493" w14:textId="40C77960">
                  <w:pPr>
                    <w:pStyle w:val="Normal"/>
                    <w:rPr>
                      <w:b w:val="0"/>
                      <w:bCs w:val="0"/>
                    </w:rPr>
                  </w:pPr>
                  <w:r w:rsidR="574FB9AD">
                    <w:rPr>
                      <w:b w:val="0"/>
                      <w:bCs w:val="0"/>
                    </w:rPr>
                    <w:t>The boycott of Starbucks starting in October 2023 could indeed be a contributing factor to the observed trends in the stock prices, particularly the sharp decline and subsequent volatility seen in the Starbucks stock graph.</w:t>
                  </w:r>
                </w:p>
                <w:p w:rsidR="574FB9AD" w:rsidP="07C34596" w:rsidRDefault="574FB9AD" w14:paraId="1010FBEE" w14:textId="06E2F389">
                  <w:pPr>
                    <w:pStyle w:val="Normal"/>
                    <w:rPr>
                      <w:b w:val="0"/>
                      <w:bCs w:val="0"/>
                    </w:rPr>
                  </w:pPr>
                  <w:r w:rsidR="574FB9AD">
                    <w:rPr>
                      <w:b w:val="0"/>
                      <w:bCs w:val="0"/>
                    </w:rPr>
                    <w:t>Here's a detailed analysis:</w:t>
                  </w:r>
                </w:p>
                <w:p w:rsidR="574FB9AD" w:rsidP="07C34596" w:rsidRDefault="574FB9AD" w14:paraId="4D24B9E2" w14:textId="3DB7A6A2">
                  <w:pPr>
                    <w:pStyle w:val="Normal"/>
                    <w:rPr>
                      <w:b w:val="0"/>
                      <w:bCs w:val="0"/>
                    </w:rPr>
                  </w:pPr>
                  <w:r w:rsidR="574FB9AD">
                    <w:rPr>
                      <w:b w:val="0"/>
                      <w:bCs w:val="0"/>
                    </w:rPr>
                    <w:t>Sharp Decline Post-October 2023: The Starbucks stock graph shows a noticeable drop starting in late 2023. This decline aligns with the timing of the boycott, suggesting that negative public sentiment and reduced consumer demand may have significantly impacted the stock price. Investors likely reacted to the potential loss in revenue and market share due to the boycott, leading to a sell-off in the stock.</w:t>
                  </w:r>
                </w:p>
                <w:p w:rsidR="574FB9AD" w:rsidP="07C34596" w:rsidRDefault="574FB9AD" w14:paraId="1996D553" w14:textId="21E2F707">
                  <w:pPr>
                    <w:pStyle w:val="Normal"/>
                    <w:rPr>
                      <w:b w:val="0"/>
                      <w:bCs w:val="0"/>
                    </w:rPr>
                  </w:pPr>
                  <w:r w:rsidR="574FB9AD">
                    <w:rPr>
                      <w:b w:val="0"/>
                      <w:bCs w:val="0"/>
                    </w:rPr>
                    <w:t>Increased Volatility: After the initial decline, the stock shows increased volatility. This can be attributed to the market's uncertainty about the long-term impact of the boycott. Fluctuations in stock prices might reflect changing investor sentiment as new information about the boycott's impact becomes available, including any measures Starbucks took to mitigate the effects or changes in consumer behavior.</w:t>
                  </w:r>
                </w:p>
                <w:p w:rsidR="574FB9AD" w:rsidP="07C34596" w:rsidRDefault="574FB9AD" w14:paraId="005F947B" w14:textId="2E28B4C9">
                  <w:pPr>
                    <w:pStyle w:val="Normal"/>
                    <w:rPr>
                      <w:b w:val="0"/>
                      <w:bCs w:val="0"/>
                    </w:rPr>
                  </w:pPr>
                  <w:r w:rsidR="574FB9AD">
                    <w:rPr>
                      <w:b w:val="0"/>
                      <w:bCs w:val="0"/>
                    </w:rPr>
                    <w:t>Comparison with Costa Coffee: Comparing with Costa Coffee’s steadier performance, it is clear that Costa Coffee did not face the same level of public backlash or market disruption. This relative stability further supports the idea that Starbucks' unique challenges, like the boycott, played a significant role in its stock performance.</w:t>
                  </w:r>
                </w:p>
                <w:p w:rsidR="574FB9AD" w:rsidP="07C34596" w:rsidRDefault="574FB9AD" w14:paraId="53F15813" w14:textId="25D75BDC">
                  <w:pPr>
                    <w:pStyle w:val="Normal"/>
                    <w:rPr>
                      <w:b w:val="0"/>
                      <w:bCs w:val="0"/>
                    </w:rPr>
                  </w:pPr>
                  <w:r w:rsidR="574FB9AD">
                    <w:rPr>
                      <w:b w:val="0"/>
                      <w:bCs w:val="0"/>
                    </w:rPr>
                    <w:t>Market Reaction: Boycotts can lead to immediate negative market reactions as investors anticipate lower earnings and potential long-term damage to the brand. The impact on Starbucks' stock price is a reflection of these market dynamics, with the sharp decline and subsequent volatility highlighting the investors' concerns.</w:t>
                  </w:r>
                </w:p>
                <w:p w:rsidR="574FB9AD" w:rsidP="07C34596" w:rsidRDefault="574FB9AD" w14:paraId="71671AC2" w14:textId="78F649D2">
                  <w:pPr>
                    <w:pStyle w:val="Normal"/>
                    <w:rPr>
                      <w:b w:val="0"/>
                      <w:bCs w:val="0"/>
                    </w:rPr>
                  </w:pPr>
                  <w:r w:rsidR="574FB9AD">
                    <w:rPr>
                      <w:b w:val="0"/>
                      <w:bCs w:val="0"/>
                    </w:rPr>
                    <w:t>In conclusion, while there could be multiple factors influencing Starbucks' stock prices, the timing and nature of the decline and increased volatility strongly suggest that the boycott starting in October 2023 had a significant impact. This aligns with typical market behavior in response to boycotts, where investor sentiment quickly adjusts to perceived threats to the company's financial performance and brand reputation.</w:t>
                  </w:r>
                </w:p>
              </w:tc>
            </w:tr>
          </w:tbl>
          <w:p w:rsidR="2AAE2880" w:rsidP="07C34596" w:rsidRDefault="2AAE2880" w14:paraId="0680C653" w14:textId="2993B310">
            <w:pPr>
              <w:pStyle w:val="Heading1"/>
              <w:rPr>
                <w:rFonts w:ascii="Calibri" w:hAnsi="Calibri" w:eastAsia="Calibri" w:cs="Calibri"/>
                <w:b w:val="0"/>
                <w:bCs w:val="0"/>
                <w:i w:val="0"/>
                <w:iCs w:val="0"/>
                <w:strike w:val="0"/>
                <w:dstrike w:val="0"/>
                <w:noProof w:val="0"/>
                <w:color w:val="2F5496"/>
                <w:sz w:val="32"/>
                <w:szCs w:val="32"/>
                <w:u w:val="none"/>
                <w:lang w:val="en-US"/>
              </w:rPr>
            </w:pPr>
            <w:r w:rsidRPr="07C34596" w:rsidR="2AAE2880">
              <w:rPr>
                <w:rFonts w:ascii="Calibri" w:hAnsi="Calibri" w:eastAsia="Calibri" w:cs="Calibri"/>
                <w:b w:val="0"/>
                <w:bCs w:val="0"/>
                <w:i w:val="0"/>
                <w:iCs w:val="0"/>
                <w:strike w:val="0"/>
                <w:dstrike w:val="0"/>
                <w:noProof w:val="0"/>
                <w:color w:val="2F5496"/>
                <w:sz w:val="32"/>
                <w:szCs w:val="32"/>
                <w:u w:val="none"/>
                <w:lang w:val="en-US"/>
              </w:rPr>
              <w:t>Explaining the reason of the immediate sh</w:t>
            </w:r>
            <w:r w:rsidRPr="07C34596" w:rsidR="5900BBEA">
              <w:rPr>
                <w:rFonts w:ascii="Calibri" w:hAnsi="Calibri" w:eastAsia="Calibri" w:cs="Calibri"/>
                <w:b w:val="0"/>
                <w:bCs w:val="0"/>
                <w:i w:val="0"/>
                <w:iCs w:val="0"/>
                <w:strike w:val="0"/>
                <w:dstrike w:val="0"/>
                <w:noProof w:val="0"/>
                <w:color w:val="2F5496"/>
                <w:sz w:val="32"/>
                <w:szCs w:val="32"/>
                <w:u w:val="none"/>
                <w:lang w:val="en-US"/>
              </w:rPr>
              <w:t>arp</w:t>
            </w:r>
            <w:r w:rsidRPr="07C34596" w:rsidR="2AAE2880">
              <w:rPr>
                <w:rFonts w:ascii="Calibri" w:hAnsi="Calibri" w:eastAsia="Calibri" w:cs="Calibri"/>
                <w:b w:val="0"/>
                <w:bCs w:val="0"/>
                <w:i w:val="0"/>
                <w:iCs w:val="0"/>
                <w:strike w:val="0"/>
                <w:dstrike w:val="0"/>
                <w:noProof w:val="0"/>
                <w:color w:val="2F5496"/>
                <w:sz w:val="32"/>
                <w:szCs w:val="32"/>
                <w:u w:val="none"/>
                <w:lang w:val="en-US"/>
              </w:rPr>
              <w:t xml:space="preserve"> incline after the </w:t>
            </w:r>
            <w:r w:rsidRPr="07C34596" w:rsidR="2A500766">
              <w:rPr>
                <w:rFonts w:ascii="Calibri" w:hAnsi="Calibri" w:eastAsia="Calibri" w:cs="Calibri"/>
                <w:b w:val="0"/>
                <w:bCs w:val="0"/>
                <w:i w:val="0"/>
                <w:iCs w:val="0"/>
                <w:strike w:val="0"/>
                <w:dstrike w:val="0"/>
                <w:noProof w:val="0"/>
                <w:color w:val="2F5496"/>
                <w:sz w:val="32"/>
                <w:szCs w:val="32"/>
                <w:u w:val="none"/>
                <w:lang w:val="en-US"/>
              </w:rPr>
              <w:t>boycotting:</w:t>
            </w: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9150"/>
            </w:tblGrid>
            <w:tr w:rsidR="07C34596" w:rsidTr="07C34596" w14:paraId="3EE64E20">
              <w:trPr>
                <w:trHeight w:val="300"/>
              </w:trPr>
              <w:tc>
                <w:tcPr>
                  <w:tcW w:w="9150" w:type="dxa"/>
                  <w:tcBorders>
                    <w:bottom w:val="none" w:color="FFFFFF" w:themeColor="background1" w:sz="4"/>
                  </w:tcBorders>
                  <w:tcMar/>
                </w:tcPr>
                <w:p w:rsidR="066445D2" w:rsidP="07C34596" w:rsidRDefault="066445D2" w14:paraId="02767D6C" w14:textId="5706825C">
                  <w:pPr>
                    <w:pStyle w:val="Normal"/>
                  </w:pPr>
                  <w:r w:rsidR="066445D2">
                    <w:drawing>
                      <wp:inline wp14:editId="57683350" wp14:anchorId="56C77D2A">
                        <wp:extent cx="5667375" cy="2842979"/>
                        <wp:effectExtent l="0" t="0" r="0" b="0"/>
                        <wp:docPr id="545902433" name="" title=""/>
                        <wp:cNvGraphicFramePr>
                          <a:graphicFrameLocks noChangeAspect="1"/>
                        </wp:cNvGraphicFramePr>
                        <a:graphic>
                          <a:graphicData uri="http://schemas.openxmlformats.org/drawingml/2006/picture">
                            <pic:pic>
                              <pic:nvPicPr>
                                <pic:cNvPr id="0" name=""/>
                                <pic:cNvPicPr/>
                              </pic:nvPicPr>
                              <pic:blipFill>
                                <a:blip r:embed="R5d5bf4ea90f64442">
                                  <a:extLst>
                                    <a:ext xmlns:a="http://schemas.openxmlformats.org/drawingml/2006/main" uri="{28A0092B-C50C-407E-A947-70E740481C1C}">
                                      <a14:useLocalDpi val="0"/>
                                    </a:ext>
                                  </a:extLst>
                                </a:blip>
                                <a:stretch>
                                  <a:fillRect/>
                                </a:stretch>
                              </pic:blipFill>
                              <pic:spPr>
                                <a:xfrm>
                                  <a:off x="0" y="0"/>
                                  <a:ext cx="5667375" cy="2842979"/>
                                </a:xfrm>
                                <a:prstGeom prst="rect">
                                  <a:avLst/>
                                </a:prstGeom>
                              </pic:spPr>
                            </pic:pic>
                          </a:graphicData>
                        </a:graphic>
                      </wp:inline>
                    </w:drawing>
                  </w:r>
                </w:p>
              </w:tc>
            </w:tr>
            <w:tr w:rsidR="07C34596" w:rsidTr="07C34596" w14:paraId="09356C81">
              <w:trPr>
                <w:trHeight w:val="300"/>
              </w:trPr>
              <w:tc>
                <w:tcPr>
                  <w:tcW w:w="9150" w:type="dxa"/>
                  <w:tcBorders>
                    <w:top w:val="none" w:color="FFFFFF" w:themeColor="background1" w:sz="4"/>
                    <w:left w:val="none" w:color="FFFFFF" w:themeColor="background1" w:sz="4"/>
                    <w:bottom w:val="none" w:color="FFFFFF" w:themeColor="background1" w:sz="4"/>
                    <w:right w:val="none" w:color="FFFFFF" w:themeColor="background1" w:sz="4"/>
                  </w:tcBorders>
                  <w:tcMar/>
                </w:tcPr>
                <w:p w:rsidR="066445D2" w:rsidP="07C34596" w:rsidRDefault="066445D2" w14:paraId="4FBF4CBE" w14:textId="740705E7">
                  <w:pPr>
                    <w:pStyle w:val="Normal"/>
                    <w:jc w:val="center"/>
                    <w:rPr>
                      <w:rFonts w:ascii="Times New Roman" w:hAnsi="Times New Roman" w:eastAsia="Times New Roman" w:cs="Times New Roman"/>
                      <w:i w:val="1"/>
                      <w:iCs w:val="1"/>
                      <w:noProof w:val="0"/>
                      <w:lang w:val="en-US"/>
                    </w:rPr>
                  </w:pPr>
                  <w:r w:rsidRPr="07C34596" w:rsidR="066445D2">
                    <w:rPr>
                      <w:rFonts w:ascii="Times New Roman" w:hAnsi="Times New Roman" w:eastAsia="Times New Roman" w:cs="Times New Roman"/>
                      <w:b w:val="1"/>
                      <w:bCs w:val="1"/>
                      <w:i w:val="1"/>
                      <w:iCs w:val="1"/>
                      <w:noProof w:val="0"/>
                      <w:lang w:val="en-US"/>
                    </w:rPr>
                    <w:t>fig 1.</w:t>
                  </w:r>
                  <w:r w:rsidRPr="07C34596" w:rsidR="1227B0CC">
                    <w:rPr>
                      <w:rFonts w:ascii="Times New Roman" w:hAnsi="Times New Roman" w:eastAsia="Times New Roman" w:cs="Times New Roman"/>
                      <w:b w:val="1"/>
                      <w:bCs w:val="1"/>
                      <w:i w:val="1"/>
                      <w:iCs w:val="1"/>
                      <w:noProof w:val="0"/>
                      <w:lang w:val="en-US"/>
                    </w:rPr>
                    <w:t>6</w:t>
                  </w:r>
                  <w:r w:rsidRPr="07C34596" w:rsidR="066445D2">
                    <w:rPr>
                      <w:rFonts w:ascii="Times New Roman" w:hAnsi="Times New Roman" w:eastAsia="Times New Roman" w:cs="Times New Roman"/>
                      <w:i w:val="1"/>
                      <w:iCs w:val="1"/>
                      <w:noProof w:val="0"/>
                      <w:lang w:val="en-US"/>
                    </w:rPr>
                    <w:t xml:space="preserve"> Computing the Stock prices of Costa Coffee to the Starbucks</w:t>
                  </w:r>
                </w:p>
              </w:tc>
            </w:tr>
          </w:tbl>
          <w:p w:rsidR="07C34596" w:rsidP="07C34596" w:rsidRDefault="07C34596" w14:paraId="2AAD7F1C" w14:textId="733BD22A">
            <w:pPr>
              <w:spacing w:before="240" w:beforeAutospacing="off" w:after="240" w:afterAutospacing="off"/>
              <w:rPr>
                <w:rFonts w:ascii="Aptos" w:hAnsi="Aptos" w:eastAsia="Aptos" w:cs="Aptos"/>
                <w:noProof w:val="0"/>
                <w:sz w:val="24"/>
                <w:szCs w:val="24"/>
                <w:lang w:val="en-US"/>
              </w:rPr>
            </w:pPr>
          </w:p>
          <w:p w:rsidR="5154084D" w:rsidP="07C34596" w:rsidRDefault="5154084D" w14:paraId="04E3FDF4" w14:textId="02F3D41E">
            <w:pPr>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07C34596" w:rsidR="5154084D">
              <w:rPr>
                <w:rFonts w:ascii="system-ui" w:hAnsi="system-ui" w:eastAsia="system-ui" w:cs="system-ui"/>
                <w:b w:val="1"/>
                <w:bCs w:val="1"/>
                <w:i w:val="0"/>
                <w:iCs w:val="0"/>
                <w:caps w:val="0"/>
                <w:smallCaps w:val="0"/>
                <w:noProof w:val="0"/>
                <w:color w:val="0D0D0D" w:themeColor="text1" w:themeTint="F2" w:themeShade="FF"/>
                <w:sz w:val="24"/>
                <w:szCs w:val="24"/>
                <w:lang w:val="en-US"/>
              </w:rPr>
              <w:t>Fig 1.</w:t>
            </w:r>
            <w:r w:rsidRPr="07C34596" w:rsidR="76C4EE8B">
              <w:rPr>
                <w:rFonts w:ascii="system-ui" w:hAnsi="system-ui" w:eastAsia="system-ui" w:cs="system-ui"/>
                <w:b w:val="1"/>
                <w:bCs w:val="1"/>
                <w:i w:val="0"/>
                <w:iCs w:val="0"/>
                <w:caps w:val="0"/>
                <w:smallCaps w:val="0"/>
                <w:noProof w:val="0"/>
                <w:color w:val="0D0D0D" w:themeColor="text1" w:themeTint="F2" w:themeShade="FF"/>
                <w:sz w:val="24"/>
                <w:szCs w:val="24"/>
                <w:lang w:val="en-US"/>
              </w:rPr>
              <w:t>6</w:t>
            </w:r>
            <w:r w:rsidRPr="07C34596" w:rsidR="5154084D">
              <w:rPr>
                <w:rFonts w:ascii="system-ui" w:hAnsi="system-ui" w:eastAsia="system-ui" w:cs="system-ui"/>
                <w:b w:val="1"/>
                <w:bCs w:val="1"/>
                <w:i w:val="0"/>
                <w:iCs w:val="0"/>
                <w:caps w:val="0"/>
                <w:smallCaps w:val="0"/>
                <w:noProof w:val="0"/>
                <w:color w:val="0D0D0D" w:themeColor="text1" w:themeTint="F2" w:themeShade="FF"/>
                <w:sz w:val="24"/>
                <w:szCs w:val="24"/>
                <w:lang w:val="en-US"/>
              </w:rPr>
              <w:t>:</w:t>
            </w:r>
          </w:p>
          <w:tbl>
            <w:tblPr>
              <w:tblStyle w:val="TableGrid"/>
              <w:tblW w:w="0" w:type="auto"/>
              <w:tblLayout w:type="fixed"/>
              <w:tblLook w:val="06A0" w:firstRow="1" w:lastRow="0" w:firstColumn="1" w:lastColumn="0" w:noHBand="1" w:noVBand="1"/>
            </w:tblPr>
            <w:tblGrid>
              <w:gridCol w:w="10380"/>
            </w:tblGrid>
            <w:tr w:rsidR="07C34596" w:rsidTr="07C34596" w14:paraId="4815D5AB">
              <w:trPr>
                <w:trHeight w:val="300"/>
              </w:trPr>
              <w:tc>
                <w:tcPr>
                  <w:tcW w:w="10380" w:type="dxa"/>
                  <w:tcMar/>
                </w:tcPr>
                <w:p w:rsidR="5154084D" w:rsidP="07C34596" w:rsidRDefault="5154084D" w14:paraId="47C0312C" w14:textId="5ADA3568">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short, sharp incline in Starbucks' stock prices </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immediately</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following the onset of the boycott in October 2023 is an interesting anomaly (appeared in fig 1.</w:t>
                  </w:r>
                  <w:r w:rsidRPr="07C34596" w:rsidR="1596744C">
                    <w:rPr>
                      <w:rFonts w:ascii="system-ui" w:hAnsi="system-ui" w:eastAsia="system-ui" w:cs="system-ui"/>
                      <w:b w:val="0"/>
                      <w:bCs w:val="0"/>
                      <w:i w:val="0"/>
                      <w:iCs w:val="0"/>
                      <w:caps w:val="0"/>
                      <w:smallCaps w:val="0"/>
                      <w:noProof w:val="0"/>
                      <w:color w:val="0D0D0D" w:themeColor="text1" w:themeTint="F2" w:themeShade="FF"/>
                      <w:sz w:val="24"/>
                      <w:szCs w:val="24"/>
                      <w:lang w:val="en-US"/>
                    </w:rPr>
                    <w:t>6</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fig 1.0). Typically, one might expect a boycott to exert downward pressure on a company's stock due to </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anticipated</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declines in sales and revenue. However, the observed </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increase could be attributed to opportunistic investor behavior.</w:t>
                  </w:r>
                </w:p>
                <w:p w:rsidR="5154084D" w:rsidP="07C34596" w:rsidRDefault="5154084D" w14:paraId="5BA4BFB9" w14:textId="3F763DAE">
                  <w:pPr>
                    <w:shd w:val="clear" w:color="auto" w:fill="FFFFFF" w:themeFill="background1"/>
                    <w:spacing w:before="300" w:beforeAutospacing="off" w:after="300" w:afterAutospacing="off"/>
                  </w:pP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When a company faces a significant, but potentially temporary, challenge such as a boycott, some investors might view the resultant dip in stock prices as a buying opportunity. These investors likely believe that the company's fundamentals remain strong and that the boycott's effects will be short-lived. Consequently, they purchase shares at reduced prices, anticipating a rebound once the boycott ends or its impact diminishes. This surge in buying activity can temporarily drive up the stock price, creating a short-term upward trend.</w:t>
                  </w:r>
                </w:p>
                <w:p w:rsidR="5154084D" w:rsidP="07C34596" w:rsidRDefault="5154084D" w14:paraId="32BAF439" w14:textId="45D9689F">
                  <w:pPr>
                    <w:shd w:val="clear" w:color="auto" w:fill="FFFFFF" w:themeFill="background1"/>
                    <w:spacing w:before="300" w:beforeAutospacing="off" w:after="300" w:afterAutospacing="off"/>
                  </w:pP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rationale behind this behavior is grounded in market psychology and the principles of value investing. Investors who trust in Starbucks' long-term prospects might see the boycott as an overreaction by the market, leading to undervalued stock prices. By capitalizing on this perceived undervaluation, they aim to </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benefit</w:t>
                  </w:r>
                  <w:r w:rsidRPr="07C34596" w:rsidR="515408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from the stock's eventual recovery.</w:t>
                  </w:r>
                </w:p>
              </w:tc>
            </w:tr>
          </w:tbl>
          <w:p w:rsidR="7BFAA1F1" w:rsidP="07C34596" w:rsidRDefault="7BFAA1F1" w14:paraId="77F8E03A" w14:textId="6C3D83F8">
            <w:pPr>
              <w:pStyle w:val="Heading1"/>
              <w:rPr>
                <w:rFonts w:ascii="Calibri" w:hAnsi="Calibri" w:eastAsia="Calibri" w:cs="Calibri"/>
                <w:b w:val="0"/>
                <w:bCs w:val="0"/>
                <w:i w:val="0"/>
                <w:iCs w:val="0"/>
                <w:strike w:val="0"/>
                <w:dstrike w:val="0"/>
                <w:noProof w:val="0"/>
                <w:color w:val="2F5496"/>
                <w:sz w:val="32"/>
                <w:szCs w:val="32"/>
                <w:u w:val="none"/>
                <w:lang w:val="en-US"/>
              </w:rPr>
            </w:pPr>
            <w:r w:rsidRPr="07C34596" w:rsidR="7BFAA1F1">
              <w:rPr>
                <w:rFonts w:ascii="Calibri" w:hAnsi="Calibri" w:eastAsia="Calibri" w:cs="Calibri"/>
                <w:b w:val="0"/>
                <w:bCs w:val="0"/>
                <w:i w:val="0"/>
                <w:iCs w:val="0"/>
                <w:strike w:val="0"/>
                <w:dstrike w:val="0"/>
                <w:noProof w:val="0"/>
                <w:color w:val="2F5496"/>
                <w:sz w:val="32"/>
                <w:szCs w:val="32"/>
                <w:u w:val="none"/>
                <w:lang w:val="en-US"/>
              </w:rPr>
              <w:t>Are the economic conditions the reason?</w:t>
            </w:r>
          </w:p>
          <w:p w:rsidR="34BEE179" w:rsidP="07C34596" w:rsidRDefault="34BEE179" w14:paraId="197FD6DE" w14:textId="620B342E">
            <w:pPr>
              <w:spacing w:before="240" w:beforeAutospacing="off" w:after="240" w:afterAutospacing="off"/>
            </w:pPr>
            <w:r w:rsidRPr="07C34596" w:rsidR="34BEE179">
              <w:rPr>
                <w:rFonts w:ascii="Aptos" w:hAnsi="Aptos" w:eastAsia="Aptos" w:cs="Aptos"/>
                <w:noProof w:val="0"/>
                <w:sz w:val="24"/>
                <w:szCs w:val="24"/>
                <w:lang w:val="en-US"/>
              </w:rPr>
              <w:t>To determine whether the decline in Starbucks' stock prices after October 2023 is primarily due to the boycott or influenced by broader economic factors, we need to examine key economic indicators such as inflation rates, GDP growth, and unemployment rates during this period.</w:t>
            </w:r>
          </w:p>
          <w:p w:rsidR="34BEE179" w:rsidP="07C34596" w:rsidRDefault="34BEE179" w14:paraId="17643F1E" w14:textId="31173F77">
            <w:pPr>
              <w:spacing w:before="240" w:beforeAutospacing="off" w:after="240" w:afterAutospacing="off"/>
              <w:rPr>
                <w:rFonts w:ascii="Aptos" w:hAnsi="Aptos" w:eastAsia="Aptos" w:cs="Aptos"/>
                <w:noProof w:val="0"/>
                <w:sz w:val="24"/>
                <w:szCs w:val="24"/>
                <w:lang w:val="en-US"/>
              </w:rPr>
            </w:pPr>
            <w:r w:rsidRPr="07C34596" w:rsidR="34BEE179">
              <w:rPr>
                <w:rFonts w:ascii="Aptos" w:hAnsi="Aptos" w:eastAsia="Aptos" w:cs="Aptos"/>
                <w:noProof w:val="0"/>
                <w:sz w:val="24"/>
                <w:szCs w:val="24"/>
                <w:lang w:val="en-US"/>
              </w:rPr>
              <w:t xml:space="preserve">Inflation Rates In 2023, the inflation rate in the U.S. saw significant fluctuations, peaking at around 9.1% in June 2022 and then gradually decreasing to 3.2% by October 2023. Throughout 2024, the inflation rate remained </w:t>
            </w:r>
            <w:r w:rsidRPr="07C34596" w:rsidR="34BEE179">
              <w:rPr>
                <w:rFonts w:ascii="Aptos" w:hAnsi="Aptos" w:eastAsia="Aptos" w:cs="Aptos"/>
                <w:noProof w:val="0"/>
                <w:sz w:val="24"/>
                <w:szCs w:val="24"/>
                <w:lang w:val="en-US"/>
              </w:rPr>
              <w:t>relatively stable</w:t>
            </w:r>
            <w:r w:rsidRPr="07C34596" w:rsidR="34BEE179">
              <w:rPr>
                <w:rFonts w:ascii="Aptos" w:hAnsi="Aptos" w:eastAsia="Aptos" w:cs="Aptos"/>
                <w:noProof w:val="0"/>
                <w:sz w:val="24"/>
                <w:szCs w:val="24"/>
                <w:lang w:val="en-US"/>
              </w:rPr>
              <w:t>, fluctuating between 3.1% and 3.5% (US Inflation Calc) (Bureau of Labor Statistics</w:t>
            </w:r>
            <w:r w:rsidRPr="07C34596" w:rsidR="56737B50">
              <w:rPr>
                <w:rFonts w:ascii="Aptos" w:hAnsi="Aptos" w:eastAsia="Aptos" w:cs="Aptos"/>
                <w:noProof w:val="0"/>
                <w:sz w:val="24"/>
                <w:szCs w:val="24"/>
                <w:lang w:val="en-US"/>
              </w:rPr>
              <w:t>).</w:t>
            </w:r>
          </w:p>
          <w:p w:rsidR="34BEE179" w:rsidP="07C34596" w:rsidRDefault="34BEE179" w14:paraId="4A134777" w14:textId="77B4C279">
            <w:pPr>
              <w:spacing w:before="240" w:beforeAutospacing="off" w:after="240" w:afterAutospacing="off"/>
              <w:rPr>
                <w:rFonts w:ascii="Aptos" w:hAnsi="Aptos" w:eastAsia="Aptos" w:cs="Aptos"/>
                <w:noProof w:val="0"/>
                <w:sz w:val="24"/>
                <w:szCs w:val="24"/>
                <w:lang w:val="en-US"/>
              </w:rPr>
            </w:pPr>
            <w:r w:rsidRPr="07C34596" w:rsidR="34BEE179">
              <w:rPr>
                <w:rFonts w:ascii="Aptos" w:hAnsi="Aptos" w:eastAsia="Aptos" w:cs="Aptos"/>
                <w:noProof w:val="0"/>
                <w:sz w:val="24"/>
                <w:szCs w:val="24"/>
                <w:lang w:val="en-US"/>
              </w:rPr>
              <w:t xml:space="preserve">GDP Growth </w:t>
            </w:r>
            <w:r w:rsidRPr="07C34596" w:rsidR="09C2349F">
              <w:rPr>
                <w:rFonts w:ascii="Aptos" w:hAnsi="Aptos" w:eastAsia="Aptos" w:cs="Aptos"/>
                <w:noProof w:val="0"/>
                <w:sz w:val="24"/>
                <w:szCs w:val="24"/>
                <w:lang w:val="en-US"/>
              </w:rPr>
              <w:t>the</w:t>
            </w:r>
            <w:r w:rsidRPr="07C34596" w:rsidR="34BEE179">
              <w:rPr>
                <w:rFonts w:ascii="Aptos" w:hAnsi="Aptos" w:eastAsia="Aptos" w:cs="Aptos"/>
                <w:noProof w:val="0"/>
                <w:sz w:val="24"/>
                <w:szCs w:val="24"/>
                <w:lang w:val="en-US"/>
              </w:rPr>
              <w:t xml:space="preserve"> GDP growth rate in the U.S. during this period showed signs of recovery from the pandemic-induced recession. In 2023, the GDP growth rate was around 2.1%, </w:t>
            </w:r>
            <w:r w:rsidRPr="07C34596" w:rsidR="34BEE179">
              <w:rPr>
                <w:rFonts w:ascii="Aptos" w:hAnsi="Aptos" w:eastAsia="Aptos" w:cs="Aptos"/>
                <w:noProof w:val="0"/>
                <w:sz w:val="24"/>
                <w:szCs w:val="24"/>
                <w:lang w:val="en-US"/>
              </w:rPr>
              <w:t>indicating</w:t>
            </w:r>
            <w:r w:rsidRPr="07C34596" w:rsidR="34BEE179">
              <w:rPr>
                <w:rFonts w:ascii="Aptos" w:hAnsi="Aptos" w:eastAsia="Aptos" w:cs="Aptos"/>
                <w:noProof w:val="0"/>
                <w:sz w:val="24"/>
                <w:szCs w:val="24"/>
                <w:lang w:val="en-US"/>
              </w:rPr>
              <w:t xml:space="preserve"> moderate economic expansion. This trend continued into 2024, with the GDP growth rate expected to stabilize around 2% (Bureau of Labor Statistics</w:t>
            </w:r>
            <w:r w:rsidRPr="07C34596" w:rsidR="2E493065">
              <w:rPr>
                <w:rFonts w:ascii="Aptos" w:hAnsi="Aptos" w:eastAsia="Aptos" w:cs="Aptos"/>
                <w:noProof w:val="0"/>
                <w:sz w:val="24"/>
                <w:szCs w:val="24"/>
                <w:lang w:val="en-US"/>
              </w:rPr>
              <w:t>).</w:t>
            </w:r>
          </w:p>
          <w:p w:rsidR="34BEE179" w:rsidP="07C34596" w:rsidRDefault="34BEE179" w14:paraId="2922F6D4" w14:textId="21A2BE7D">
            <w:pPr>
              <w:spacing w:before="240" w:beforeAutospacing="off" w:after="240" w:afterAutospacing="off"/>
              <w:rPr>
                <w:rFonts w:ascii="Aptos" w:hAnsi="Aptos" w:eastAsia="Aptos" w:cs="Aptos"/>
                <w:noProof w:val="0"/>
                <w:sz w:val="24"/>
                <w:szCs w:val="24"/>
                <w:lang w:val="en-US"/>
              </w:rPr>
            </w:pPr>
            <w:r w:rsidRPr="07C34596" w:rsidR="34BEE179">
              <w:rPr>
                <w:rFonts w:ascii="Aptos" w:hAnsi="Aptos" w:eastAsia="Aptos" w:cs="Aptos"/>
                <w:noProof w:val="0"/>
                <w:sz w:val="24"/>
                <w:szCs w:val="24"/>
                <w:lang w:val="en-US"/>
              </w:rPr>
              <w:t xml:space="preserve">Unemployment Rates Unemployment rates also provide insight into economic health. In 2023, the unemployment rate was around 3.9%, reflecting a tight labor market. This rate remained consistent into early 2024, </w:t>
            </w:r>
            <w:r w:rsidRPr="07C34596" w:rsidR="34BEE179">
              <w:rPr>
                <w:rFonts w:ascii="Aptos" w:hAnsi="Aptos" w:eastAsia="Aptos" w:cs="Aptos"/>
                <w:noProof w:val="0"/>
                <w:sz w:val="24"/>
                <w:szCs w:val="24"/>
                <w:lang w:val="en-US"/>
              </w:rPr>
              <w:t>indicating</w:t>
            </w:r>
            <w:r w:rsidRPr="07C34596" w:rsidR="34BEE179">
              <w:rPr>
                <w:rFonts w:ascii="Aptos" w:hAnsi="Aptos" w:eastAsia="Aptos" w:cs="Aptos"/>
                <w:noProof w:val="0"/>
                <w:sz w:val="24"/>
                <w:szCs w:val="24"/>
                <w:lang w:val="en-US"/>
              </w:rPr>
              <w:t xml:space="preserve"> that employment levels were stable and not significantly affecting consumer spending power (Bureau of Labor Statistics</w:t>
            </w:r>
            <w:r w:rsidRPr="07C34596" w:rsidR="13B0EC16">
              <w:rPr>
                <w:rFonts w:ascii="Aptos" w:hAnsi="Aptos" w:eastAsia="Aptos" w:cs="Aptos"/>
                <w:noProof w:val="0"/>
                <w:sz w:val="24"/>
                <w:szCs w:val="24"/>
                <w:lang w:val="en-US"/>
              </w:rPr>
              <w:t>).</w:t>
            </w:r>
          </w:p>
          <w:p w:rsidR="34BEE179" w:rsidP="07C34596" w:rsidRDefault="34BEE179" w14:paraId="35E497C5" w14:textId="654D62AB">
            <w:pPr>
              <w:spacing w:before="240" w:beforeAutospacing="off" w:after="240" w:afterAutospacing="off"/>
              <w:rPr>
                <w:rFonts w:ascii="Aptos" w:hAnsi="Aptos" w:eastAsia="Aptos" w:cs="Aptos"/>
                <w:noProof w:val="0"/>
                <w:sz w:val="24"/>
                <w:szCs w:val="24"/>
                <w:lang w:val="en-US"/>
              </w:rPr>
            </w:pPr>
            <w:r w:rsidRPr="07C34596" w:rsidR="34BEE179">
              <w:rPr>
                <w:rFonts w:ascii="Aptos" w:hAnsi="Aptos" w:eastAsia="Aptos" w:cs="Aptos"/>
                <w:noProof w:val="0"/>
                <w:sz w:val="24"/>
                <w:szCs w:val="24"/>
                <w:lang w:val="en-US"/>
              </w:rPr>
              <w:t xml:space="preserve">Analysis Given these economic indicators, the decline in Starbucks' stock prices post-October 2023 is less likely to be solely attributed to broader economic conditions such as high inflation, GDP growth fluctuations, or unemployment rates. Instead, the immediate drop following the boycott suggests that the boycott had </w:t>
            </w:r>
            <w:r w:rsidRPr="07C34596" w:rsidR="34BEE179">
              <w:rPr>
                <w:rFonts w:ascii="Aptos" w:hAnsi="Aptos" w:eastAsia="Aptos" w:cs="Aptos"/>
                <w:noProof w:val="0"/>
                <w:sz w:val="24"/>
                <w:szCs w:val="24"/>
                <w:lang w:val="en-US"/>
              </w:rPr>
              <w:t>a</w:t>
            </w:r>
            <w:r w:rsidRPr="07C34596" w:rsidR="7D60D9E0">
              <w:rPr>
                <w:rFonts w:ascii="Aptos" w:hAnsi="Aptos" w:eastAsia="Aptos" w:cs="Aptos"/>
                <w:noProof w:val="0"/>
                <w:sz w:val="24"/>
                <w:szCs w:val="24"/>
                <w:lang w:val="en-US"/>
              </w:rPr>
              <w:t xml:space="preserve">n </w:t>
            </w:r>
            <w:r w:rsidRPr="07C34596" w:rsidR="34BEE179">
              <w:rPr>
                <w:rFonts w:ascii="Aptos" w:hAnsi="Aptos" w:eastAsia="Aptos" w:cs="Aptos"/>
                <w:noProof w:val="0"/>
                <w:sz w:val="24"/>
                <w:szCs w:val="24"/>
                <w:lang w:val="en-US"/>
              </w:rPr>
              <w:t>impact on investor sentiment and stock performance.</w:t>
            </w:r>
          </w:p>
          <w:p w:rsidR="34BEE179" w:rsidP="07C34596" w:rsidRDefault="34BEE179" w14:paraId="693BAEAB" w14:textId="030E8F8C">
            <w:pPr>
              <w:spacing w:before="240" w:beforeAutospacing="off" w:after="240" w:afterAutospacing="off"/>
            </w:pPr>
            <w:r w:rsidRPr="07C34596" w:rsidR="34BEE179">
              <w:rPr>
                <w:rFonts w:ascii="Aptos" w:hAnsi="Aptos" w:eastAsia="Aptos" w:cs="Aptos"/>
                <w:noProof w:val="0"/>
                <w:sz w:val="24"/>
                <w:szCs w:val="24"/>
                <w:lang w:val="en-US"/>
              </w:rPr>
              <w:t xml:space="preserve">While </w:t>
            </w:r>
            <w:r w:rsidRPr="07C34596" w:rsidR="34BEE179">
              <w:rPr>
                <w:rFonts w:ascii="Aptos" w:hAnsi="Aptos" w:eastAsia="Aptos" w:cs="Aptos"/>
                <w:noProof w:val="0"/>
                <w:sz w:val="24"/>
                <w:szCs w:val="24"/>
                <w:lang w:val="en-US"/>
              </w:rPr>
              <w:t>it's</w:t>
            </w:r>
            <w:r w:rsidRPr="07C34596" w:rsidR="34BEE179">
              <w:rPr>
                <w:rFonts w:ascii="Aptos" w:hAnsi="Aptos" w:eastAsia="Aptos" w:cs="Aptos"/>
                <w:noProof w:val="0"/>
                <w:sz w:val="24"/>
                <w:szCs w:val="24"/>
                <w:lang w:val="en-US"/>
              </w:rPr>
              <w:t xml:space="preserve"> possible that some investors might have seen the lower stock prices as a buying opportunity, the overall trend </w:t>
            </w:r>
            <w:r w:rsidRPr="07C34596" w:rsidR="34BEE179">
              <w:rPr>
                <w:rFonts w:ascii="Aptos" w:hAnsi="Aptos" w:eastAsia="Aptos" w:cs="Aptos"/>
                <w:noProof w:val="0"/>
                <w:sz w:val="24"/>
                <w:szCs w:val="24"/>
                <w:lang w:val="en-US"/>
              </w:rPr>
              <w:t>indicates</w:t>
            </w:r>
            <w:r w:rsidRPr="07C34596" w:rsidR="34BEE179">
              <w:rPr>
                <w:rFonts w:ascii="Aptos" w:hAnsi="Aptos" w:eastAsia="Aptos" w:cs="Aptos"/>
                <w:noProof w:val="0"/>
                <w:sz w:val="24"/>
                <w:szCs w:val="24"/>
                <w:lang w:val="en-US"/>
              </w:rPr>
              <w:t xml:space="preserve"> that the boycott's influence on consumer behavior and market </w:t>
            </w:r>
            <w:r w:rsidRPr="07C34596" w:rsidR="34BEE179">
              <w:rPr>
                <w:rFonts w:ascii="Aptos" w:hAnsi="Aptos" w:eastAsia="Aptos" w:cs="Aptos"/>
                <w:noProof w:val="0"/>
                <w:sz w:val="24"/>
                <w:szCs w:val="24"/>
                <w:lang w:val="en-US"/>
              </w:rPr>
              <w:t>perceptions</w:t>
            </w:r>
            <w:r w:rsidRPr="07C34596" w:rsidR="34BEE179">
              <w:rPr>
                <w:rFonts w:ascii="Aptos" w:hAnsi="Aptos" w:eastAsia="Aptos" w:cs="Aptos"/>
                <w:noProof w:val="0"/>
                <w:sz w:val="24"/>
                <w:szCs w:val="24"/>
                <w:lang w:val="en-US"/>
              </w:rPr>
              <w:t xml:space="preserve"> </w:t>
            </w:r>
            <w:r w:rsidRPr="07C34596" w:rsidR="34BEE179">
              <w:rPr>
                <w:rFonts w:ascii="Aptos" w:hAnsi="Aptos" w:eastAsia="Aptos" w:cs="Aptos"/>
                <w:noProof w:val="0"/>
                <w:sz w:val="24"/>
                <w:szCs w:val="24"/>
                <w:lang w:val="en-US"/>
              </w:rPr>
              <w:t>likely played</w:t>
            </w:r>
            <w:r w:rsidRPr="07C34596" w:rsidR="34BEE179">
              <w:rPr>
                <w:rFonts w:ascii="Aptos" w:hAnsi="Aptos" w:eastAsia="Aptos" w:cs="Aptos"/>
                <w:noProof w:val="0"/>
                <w:sz w:val="24"/>
                <w:szCs w:val="24"/>
                <w:lang w:val="en-US"/>
              </w:rPr>
              <w:t xml:space="preserve"> </w:t>
            </w:r>
            <w:r w:rsidRPr="07C34596" w:rsidR="34BEE179">
              <w:rPr>
                <w:rFonts w:ascii="Aptos" w:hAnsi="Aptos" w:eastAsia="Aptos" w:cs="Aptos"/>
                <w:noProof w:val="0"/>
                <w:sz w:val="24"/>
                <w:szCs w:val="24"/>
                <w:lang w:val="en-US"/>
              </w:rPr>
              <w:t>a major role</w:t>
            </w:r>
            <w:r w:rsidRPr="07C34596" w:rsidR="34BEE179">
              <w:rPr>
                <w:rFonts w:ascii="Aptos" w:hAnsi="Aptos" w:eastAsia="Aptos" w:cs="Aptos"/>
                <w:noProof w:val="0"/>
                <w:sz w:val="24"/>
                <w:szCs w:val="24"/>
                <w:lang w:val="en-US"/>
              </w:rPr>
              <w:t xml:space="preserve"> in the stock price decline.</w:t>
            </w:r>
          </w:p>
          <w:p w:rsidR="34BEE179" w:rsidP="07C34596" w:rsidRDefault="34BEE179" w14:paraId="64D3EA1D" w14:textId="6FAB3DC7">
            <w:pPr>
              <w:spacing w:before="240" w:beforeAutospacing="off" w:after="240" w:afterAutospacing="off"/>
              <w:rPr>
                <w:rFonts w:ascii="Aptos" w:hAnsi="Aptos" w:eastAsia="Aptos" w:cs="Aptos"/>
                <w:noProof w:val="0"/>
                <w:sz w:val="24"/>
                <w:szCs w:val="24"/>
                <w:lang w:val="en-US"/>
              </w:rPr>
            </w:pPr>
            <w:r w:rsidRPr="07C34596" w:rsidR="34BEE179">
              <w:rPr>
                <w:rFonts w:ascii="Aptos" w:hAnsi="Aptos" w:eastAsia="Aptos" w:cs="Aptos"/>
                <w:noProof w:val="0"/>
                <w:sz w:val="24"/>
                <w:szCs w:val="24"/>
                <w:lang w:val="en-US"/>
              </w:rPr>
              <w:t xml:space="preserve">In conclusion, while economic factors provide a backdrop to market conditions, the timing and </w:t>
            </w:r>
            <w:r w:rsidRPr="07C34596" w:rsidR="34BEE179">
              <w:rPr>
                <w:rFonts w:ascii="Aptos" w:hAnsi="Aptos" w:eastAsia="Aptos" w:cs="Aptos"/>
                <w:noProof w:val="0"/>
                <w:sz w:val="24"/>
                <w:szCs w:val="24"/>
                <w:lang w:val="en-US"/>
              </w:rPr>
              <w:t>magnitude</w:t>
            </w:r>
            <w:r w:rsidRPr="07C34596" w:rsidR="34BEE179">
              <w:rPr>
                <w:rFonts w:ascii="Aptos" w:hAnsi="Aptos" w:eastAsia="Aptos" w:cs="Aptos"/>
                <w:noProof w:val="0"/>
                <w:sz w:val="24"/>
                <w:szCs w:val="24"/>
                <w:lang w:val="en-US"/>
              </w:rPr>
              <w:t xml:space="preserve"> of the stock price changes suggest that the boycott </w:t>
            </w:r>
            <w:r w:rsidRPr="07C34596" w:rsidR="7850A955">
              <w:rPr>
                <w:rFonts w:ascii="Aptos" w:hAnsi="Aptos" w:eastAsia="Aptos" w:cs="Aptos"/>
                <w:noProof w:val="0"/>
                <w:sz w:val="24"/>
                <w:szCs w:val="24"/>
                <w:lang w:val="en-US"/>
              </w:rPr>
              <w:t>might be a</w:t>
            </w:r>
            <w:r w:rsidRPr="07C34596" w:rsidR="34BEE179">
              <w:rPr>
                <w:rFonts w:ascii="Aptos" w:hAnsi="Aptos" w:eastAsia="Aptos" w:cs="Aptos"/>
                <w:noProof w:val="0"/>
                <w:sz w:val="24"/>
                <w:szCs w:val="24"/>
                <w:lang w:val="en-US"/>
              </w:rPr>
              <w:t xml:space="preserve"> driver of the observed decline.</w:t>
            </w:r>
          </w:p>
        </w:tc>
      </w:tr>
    </w:tbl>
    <w:p xmlns:wp14="http://schemas.microsoft.com/office/word/2010/wordml" w:rsidP="07C34596" wp14:paraId="46A840F8" wp14:textId="6200150A">
      <w:pPr>
        <w:pStyle w:val="Heading1"/>
      </w:pPr>
      <w:r w:rsidRPr="07C34596" w:rsidR="325A5C54">
        <w:rPr>
          <w:rFonts w:ascii="Calibri" w:hAnsi="Calibri" w:eastAsia="Calibri" w:cs="Calibri"/>
          <w:b w:val="0"/>
          <w:bCs w:val="0"/>
          <w:i w:val="0"/>
          <w:iCs w:val="0"/>
          <w:strike w:val="0"/>
          <w:dstrike w:val="0"/>
          <w:noProof w:val="0"/>
          <w:color w:val="2F5496"/>
          <w:sz w:val="32"/>
          <w:szCs w:val="32"/>
          <w:u w:val="none"/>
          <w:lang w:val="en-US"/>
        </w:rPr>
        <w:t>Hypothesis Testing Steps</w:t>
      </w:r>
    </w:p>
    <w:p xmlns:wp14="http://schemas.microsoft.com/office/word/2010/wordml" w:rsidP="07C34596" wp14:paraId="0BB26F1C" wp14:textId="3F34CD2D">
      <w:pPr>
        <w:pStyle w:val="Heading1"/>
        <w:numPr>
          <w:ilvl w:val="0"/>
          <w:numId w:val="4"/>
        </w:numPr>
        <w:spacing w:before="240" w:beforeAutospacing="off" w:after="0" w:afterAutospacing="off"/>
        <w:rPr>
          <w:rFonts w:ascii="Times New Roman" w:hAnsi="Times New Roman" w:eastAsia="Times New Roman" w:cs="Times New Roman"/>
          <w:color w:val="auto"/>
          <w:sz w:val="24"/>
          <w:szCs w:val="24"/>
        </w:rPr>
      </w:pPr>
      <w:r w:rsidRPr="07C34596" w:rsidR="4E3B91C6">
        <w:rPr>
          <w:rFonts w:ascii="Times New Roman" w:hAnsi="Times New Roman" w:eastAsia="Times New Roman" w:cs="Times New Roman"/>
          <w:color w:val="auto"/>
          <w:sz w:val="24"/>
          <w:szCs w:val="24"/>
        </w:rPr>
        <w:t xml:space="preserve">Step </w:t>
      </w:r>
      <w:r w:rsidRPr="07C34596" w:rsidR="4E3B91C6">
        <w:rPr>
          <w:rFonts w:ascii="Times New Roman" w:hAnsi="Times New Roman" w:eastAsia="Times New Roman" w:cs="Times New Roman"/>
          <w:color w:val="auto"/>
          <w:sz w:val="24"/>
          <w:szCs w:val="24"/>
        </w:rPr>
        <w:t>1:</w:t>
      </w:r>
      <w:r w:rsidRPr="07C34596" w:rsidR="4E3B91C6">
        <w:rPr>
          <w:rFonts w:ascii="Times New Roman" w:hAnsi="Times New Roman" w:eastAsia="Times New Roman" w:cs="Times New Roman"/>
          <w:color w:val="auto"/>
          <w:sz w:val="24"/>
          <w:szCs w:val="24"/>
        </w:rPr>
        <w:t xml:space="preserve"> Defi</w:t>
      </w:r>
      <w:r w:rsidRPr="07C34596" w:rsidR="7E8F65DC">
        <w:rPr>
          <w:rFonts w:ascii="Times New Roman" w:hAnsi="Times New Roman" w:eastAsia="Times New Roman" w:cs="Times New Roman"/>
          <w:color w:val="auto"/>
          <w:sz w:val="24"/>
          <w:szCs w:val="24"/>
        </w:rPr>
        <w:t xml:space="preserve">ne null and alternative hypothesis </w:t>
      </w:r>
    </w:p>
    <w:p xmlns:wp14="http://schemas.microsoft.com/office/word/2010/wordml" w:rsidP="07C34596" wp14:paraId="27004B36" wp14:textId="21396A83">
      <w:pPr>
        <w:pStyle w:val="ListParagraph"/>
        <w:numPr>
          <w:ilvl w:val="0"/>
          <w:numId w:val="4"/>
        </w:numPr>
        <w:rPr>
          <w:rFonts w:ascii="Times New Roman" w:hAnsi="Times New Roman" w:eastAsia="Times New Roman" w:cs="Times New Roman"/>
          <w:color w:val="auto"/>
          <w:sz w:val="24"/>
          <w:szCs w:val="24"/>
        </w:rPr>
      </w:pPr>
      <w:r w:rsidRPr="07C34596" w:rsidR="7E8F65DC">
        <w:rPr>
          <w:rFonts w:ascii="Times New Roman" w:hAnsi="Times New Roman" w:eastAsia="Times New Roman" w:cs="Times New Roman"/>
          <w:color w:val="auto"/>
          <w:sz w:val="24"/>
          <w:szCs w:val="24"/>
        </w:rPr>
        <w:t xml:space="preserve">Step 2: Choose the </w:t>
      </w:r>
      <w:r w:rsidRPr="07C34596" w:rsidR="7E8F65DC">
        <w:rPr>
          <w:rFonts w:ascii="Times New Roman" w:hAnsi="Times New Roman" w:eastAsia="Times New Roman" w:cs="Times New Roman"/>
          <w:color w:val="auto"/>
          <w:sz w:val="24"/>
          <w:szCs w:val="24"/>
        </w:rPr>
        <w:t>appropriate test</w:t>
      </w:r>
    </w:p>
    <w:p xmlns:wp14="http://schemas.microsoft.com/office/word/2010/wordml" w:rsidP="07C34596" wp14:paraId="30CA080D" wp14:textId="08FF28A0">
      <w:pPr>
        <w:pStyle w:val="ListParagraph"/>
        <w:numPr>
          <w:ilvl w:val="0"/>
          <w:numId w:val="4"/>
        </w:numPr>
        <w:rPr>
          <w:rFonts w:ascii="Times New Roman" w:hAnsi="Times New Roman" w:eastAsia="Times New Roman" w:cs="Times New Roman"/>
          <w:color w:val="auto"/>
          <w:sz w:val="24"/>
          <w:szCs w:val="24"/>
        </w:rPr>
      </w:pPr>
      <w:r w:rsidRPr="07C34596" w:rsidR="7E8F65DC">
        <w:rPr>
          <w:rFonts w:ascii="Times New Roman" w:hAnsi="Times New Roman" w:eastAsia="Times New Roman" w:cs="Times New Roman"/>
          <w:color w:val="auto"/>
          <w:sz w:val="24"/>
          <w:szCs w:val="24"/>
        </w:rPr>
        <w:t>Step 3: Calculate the p-value</w:t>
      </w:r>
    </w:p>
    <w:p xmlns:wp14="http://schemas.microsoft.com/office/word/2010/wordml" w:rsidP="07C34596" wp14:paraId="3FDBAA2B" wp14:textId="1E707001">
      <w:pPr>
        <w:pStyle w:val="ListParagraph"/>
        <w:numPr>
          <w:ilvl w:val="0"/>
          <w:numId w:val="4"/>
        </w:numPr>
        <w:rPr>
          <w:rFonts w:ascii="Times New Roman" w:hAnsi="Times New Roman" w:eastAsia="Times New Roman" w:cs="Times New Roman"/>
          <w:color w:val="auto"/>
          <w:sz w:val="24"/>
          <w:szCs w:val="24"/>
        </w:rPr>
      </w:pPr>
      <w:r w:rsidRPr="07C34596" w:rsidR="7E8F65DC">
        <w:rPr>
          <w:rFonts w:ascii="Times New Roman" w:hAnsi="Times New Roman" w:eastAsia="Times New Roman" w:cs="Times New Roman"/>
          <w:color w:val="auto"/>
          <w:sz w:val="24"/>
          <w:szCs w:val="24"/>
        </w:rPr>
        <w:t xml:space="preserve">Step 4: </w:t>
      </w:r>
      <w:r w:rsidRPr="07C34596" w:rsidR="7E8F65DC">
        <w:rPr>
          <w:rFonts w:ascii="Times New Roman" w:hAnsi="Times New Roman" w:eastAsia="Times New Roman" w:cs="Times New Roman"/>
          <w:color w:val="auto"/>
          <w:sz w:val="24"/>
          <w:szCs w:val="24"/>
        </w:rPr>
        <w:t>Determine</w:t>
      </w:r>
      <w:r w:rsidRPr="07C34596" w:rsidR="7E8F65DC">
        <w:rPr>
          <w:rFonts w:ascii="Times New Roman" w:hAnsi="Times New Roman" w:eastAsia="Times New Roman" w:cs="Times New Roman"/>
          <w:color w:val="auto"/>
          <w:sz w:val="24"/>
          <w:szCs w:val="24"/>
        </w:rPr>
        <w:t xml:space="preserve"> the </w:t>
      </w:r>
      <w:r w:rsidRPr="07C34596" w:rsidR="56959362">
        <w:rPr>
          <w:rFonts w:ascii="Times New Roman" w:hAnsi="Times New Roman" w:eastAsia="Times New Roman" w:cs="Times New Roman"/>
          <w:color w:val="auto"/>
          <w:sz w:val="24"/>
          <w:szCs w:val="24"/>
        </w:rPr>
        <w:t>statistical</w:t>
      </w:r>
      <w:r w:rsidRPr="07C34596" w:rsidR="7E8F65DC">
        <w:rPr>
          <w:rFonts w:ascii="Times New Roman" w:hAnsi="Times New Roman" w:eastAsia="Times New Roman" w:cs="Times New Roman"/>
          <w:color w:val="auto"/>
          <w:sz w:val="24"/>
          <w:szCs w:val="24"/>
        </w:rPr>
        <w:t xml:space="preserve"> signi</w:t>
      </w:r>
      <w:r w:rsidRPr="07C34596" w:rsidR="243B17D0">
        <w:rPr>
          <w:rFonts w:ascii="Times New Roman" w:hAnsi="Times New Roman" w:eastAsia="Times New Roman" w:cs="Times New Roman"/>
          <w:color w:val="auto"/>
          <w:sz w:val="24"/>
          <w:szCs w:val="24"/>
        </w:rPr>
        <w:t xml:space="preserve">ficance </w:t>
      </w:r>
    </w:p>
    <w:p xmlns:wp14="http://schemas.microsoft.com/office/word/2010/wordml" w:rsidP="07C34596" wp14:paraId="662CA791" wp14:textId="788E78A4">
      <w:pPr>
        <w:pStyle w:val="ListParagraph"/>
        <w:ind w:left="720"/>
        <w:rPr>
          <w:rFonts w:ascii="Times New Roman" w:hAnsi="Times New Roman" w:eastAsia="Times New Roman" w:cs="Times New Roman"/>
          <w:color w:val="auto"/>
          <w:sz w:val="24"/>
          <w:szCs w:val="24"/>
        </w:rPr>
      </w:pPr>
    </w:p>
    <w:p xmlns:wp14="http://schemas.microsoft.com/office/word/2010/wordml" w:rsidP="07C34596" wp14:paraId="36FD717D" wp14:textId="28FD8A9A">
      <w:pPr>
        <w:pStyle w:val="ListParagraph"/>
        <w:numPr>
          <w:ilvl w:val="0"/>
          <w:numId w:val="6"/>
        </w:numPr>
        <w:rPr>
          <w:rFonts w:ascii="Times New Roman" w:hAnsi="Times New Roman" w:eastAsia="Times New Roman" w:cs="Times New Roman"/>
          <w:b w:val="1"/>
          <w:bCs w:val="1"/>
          <w:color w:val="auto"/>
          <w:sz w:val="30"/>
          <w:szCs w:val="30"/>
        </w:rPr>
      </w:pPr>
      <w:r w:rsidRPr="07C34596" w:rsidR="5A8BE07C">
        <w:rPr>
          <w:rFonts w:ascii="Times New Roman" w:hAnsi="Times New Roman" w:eastAsia="Times New Roman" w:cs="Times New Roman"/>
          <w:b w:val="1"/>
          <w:bCs w:val="1"/>
          <w:color w:val="auto"/>
          <w:sz w:val="30"/>
          <w:szCs w:val="30"/>
        </w:rPr>
        <w:t>Hypothesis testing for the close prices</w:t>
      </w:r>
    </w:p>
    <w:p xmlns:wp14="http://schemas.microsoft.com/office/word/2010/wordml" w:rsidP="07C34596" wp14:paraId="4C3F6E93" wp14:textId="4BC42ACE">
      <w:pPr>
        <w:pStyle w:val="ListParagraph"/>
        <w:numPr>
          <w:ilvl w:val="0"/>
          <w:numId w:val="8"/>
        </w:numPr>
        <w:rPr>
          <w:rFonts w:ascii="Times New Roman" w:hAnsi="Times New Roman" w:eastAsia="Times New Roman" w:cs="Times New Roman"/>
          <w:color w:val="auto"/>
          <w:sz w:val="24"/>
          <w:szCs w:val="24"/>
        </w:rPr>
      </w:pPr>
      <w:r w:rsidRPr="07C34596" w:rsidR="5A8BE07C">
        <w:rPr>
          <w:rFonts w:ascii="Times New Roman" w:hAnsi="Times New Roman" w:eastAsia="Times New Roman" w:cs="Times New Roman"/>
          <w:color w:val="auto"/>
          <w:sz w:val="24"/>
          <w:szCs w:val="24"/>
        </w:rPr>
        <w:t>Step 1:</w:t>
      </w:r>
    </w:p>
    <w:p xmlns:wp14="http://schemas.microsoft.com/office/word/2010/wordml" w:rsidP="07C34596" wp14:paraId="4EFE635C" wp14:textId="28DE15BF">
      <w:pPr>
        <w:pStyle w:val="Normal"/>
        <w:ind w:left="720"/>
        <w:rPr>
          <w:rFonts w:ascii="Times New Roman" w:hAnsi="Times New Roman" w:eastAsia="Times New Roman" w:cs="Times New Roman"/>
          <w:noProof w:val="0"/>
          <w:sz w:val="24"/>
          <w:szCs w:val="24"/>
          <w:lang w:val="en-US"/>
        </w:rPr>
      </w:pPr>
      <w:r w:rsidRPr="07C34596" w:rsidR="5A8BE07C">
        <w:rPr>
          <w:rFonts w:ascii="Times New Roman" w:hAnsi="Times New Roman" w:eastAsia="Times New Roman" w:cs="Times New Roman"/>
          <w:noProof w:val="0"/>
          <w:u w:val="single"/>
          <w:lang w:val="en-US"/>
        </w:rPr>
        <w:t>Null Hypothesis:</w:t>
      </w:r>
      <w:r w:rsidRPr="07C34596" w:rsidR="5A8BE07C">
        <w:rPr>
          <w:rFonts w:ascii="Times New Roman" w:hAnsi="Times New Roman" w:eastAsia="Times New Roman" w:cs="Times New Roman"/>
          <w:noProof w:val="0"/>
          <w:lang w:val="en-US"/>
        </w:rPr>
        <w:t xml:space="preserve"> </w:t>
      </w:r>
      <w:r w:rsidRPr="07C34596" w:rsidR="24CFE223">
        <w:rPr>
          <w:rFonts w:ascii="Times New Roman" w:hAnsi="Times New Roman" w:eastAsia="Times New Roman" w:cs="Times New Roman"/>
          <w:noProof w:val="0"/>
          <w:lang w:val="en-US"/>
        </w:rPr>
        <w:t xml:space="preserve"> </w:t>
      </w:r>
      <w:r w:rsidRPr="07C34596" w:rsidR="5A8BE07C">
        <w:rPr>
          <w:rFonts w:ascii="Times New Roman" w:hAnsi="Times New Roman" w:eastAsia="Times New Roman" w:cs="Times New Roman"/>
          <w:noProof w:val="0"/>
          <w:sz w:val="24"/>
          <w:szCs w:val="24"/>
          <w:lang w:val="en-US"/>
        </w:rPr>
        <w:t>There is no difference between the means of close prices in from October 2022 to May 2023 and from October 2023 to May 2024</w:t>
      </w:r>
    </w:p>
    <w:p xmlns:wp14="http://schemas.microsoft.com/office/word/2010/wordml" w:rsidP="07C34596" wp14:paraId="2EF353D3" wp14:textId="22F52420">
      <w:pPr>
        <w:pStyle w:val="Normal"/>
        <w:ind w:left="720"/>
        <w:rPr>
          <w:rFonts w:ascii="Times New Roman" w:hAnsi="Times New Roman" w:eastAsia="Times New Roman" w:cs="Times New Roman"/>
          <w:noProof w:val="0"/>
          <w:sz w:val="24"/>
          <w:szCs w:val="24"/>
          <w:lang w:val="en-US"/>
        </w:rPr>
      </w:pPr>
      <w:r w:rsidRPr="07C34596" w:rsidR="5A8BE07C">
        <w:rPr>
          <w:rFonts w:ascii="Times New Roman" w:hAnsi="Times New Roman" w:eastAsia="Times New Roman" w:cs="Times New Roman"/>
          <w:noProof w:val="0"/>
          <w:u w:val="single"/>
          <w:lang w:val="en-US"/>
        </w:rPr>
        <w:t>Alternative Hypothesis:</w:t>
      </w:r>
      <w:r w:rsidRPr="07C34596" w:rsidR="5A8BE07C">
        <w:rPr>
          <w:rFonts w:ascii="Times New Roman" w:hAnsi="Times New Roman" w:eastAsia="Times New Roman" w:cs="Times New Roman"/>
          <w:noProof w:val="0"/>
          <w:u w:val="none"/>
          <w:lang w:val="en-US"/>
        </w:rPr>
        <w:t xml:space="preserve"> </w:t>
      </w:r>
      <w:r w:rsidRPr="07C34596" w:rsidR="5A8BE07C">
        <w:rPr>
          <w:rFonts w:ascii="Times New Roman" w:hAnsi="Times New Roman" w:eastAsia="Times New Roman" w:cs="Times New Roman"/>
          <w:noProof w:val="0"/>
          <w:sz w:val="24"/>
          <w:szCs w:val="24"/>
          <w:lang w:val="en-US"/>
        </w:rPr>
        <w:t xml:space="preserve">The average close prices in the first period </w:t>
      </w:r>
      <w:r w:rsidRPr="07C34596" w:rsidR="5A8BE07C">
        <w:rPr>
          <w:rFonts w:ascii="Times New Roman" w:hAnsi="Times New Roman" w:eastAsia="Times New Roman" w:cs="Times New Roman"/>
          <w:noProof w:val="0"/>
          <w:sz w:val="24"/>
          <w:szCs w:val="24"/>
          <w:lang w:val="en-US"/>
        </w:rPr>
        <w:t>is</w:t>
      </w:r>
      <w:r w:rsidRPr="07C34596" w:rsidR="5A8BE07C">
        <w:rPr>
          <w:rFonts w:ascii="Times New Roman" w:hAnsi="Times New Roman" w:eastAsia="Times New Roman" w:cs="Times New Roman"/>
          <w:noProof w:val="0"/>
          <w:sz w:val="24"/>
          <w:szCs w:val="24"/>
          <w:lang w:val="en-US"/>
        </w:rPr>
        <w:t xml:space="preserve"> </w:t>
      </w:r>
      <w:r w:rsidRPr="07C34596" w:rsidR="39411276">
        <w:rPr>
          <w:rFonts w:ascii="Times New Roman" w:hAnsi="Times New Roman" w:eastAsia="Times New Roman" w:cs="Times New Roman"/>
          <w:noProof w:val="0"/>
          <w:sz w:val="24"/>
          <w:szCs w:val="24"/>
          <w:lang w:val="en-US"/>
        </w:rPr>
        <w:t>greater</w:t>
      </w:r>
      <w:r w:rsidRPr="07C34596" w:rsidR="5A8BE07C">
        <w:rPr>
          <w:rFonts w:ascii="Times New Roman" w:hAnsi="Times New Roman" w:eastAsia="Times New Roman" w:cs="Times New Roman"/>
          <w:noProof w:val="0"/>
          <w:sz w:val="24"/>
          <w:szCs w:val="24"/>
          <w:lang w:val="en-US"/>
        </w:rPr>
        <w:t xml:space="preserve"> than the latest</w:t>
      </w:r>
    </w:p>
    <w:p xmlns:wp14="http://schemas.microsoft.com/office/word/2010/wordml" w:rsidP="07C34596" wp14:paraId="47DF4AE6" wp14:textId="05155320">
      <w:pPr>
        <w:pStyle w:val="ListParagraph"/>
        <w:numPr>
          <w:ilvl w:val="0"/>
          <w:numId w:val="8"/>
        </w:numPr>
        <w:rPr>
          <w:rFonts w:ascii="Times New Roman" w:hAnsi="Times New Roman" w:eastAsia="Times New Roman" w:cs="Times New Roman"/>
          <w:color w:val="auto"/>
          <w:sz w:val="24"/>
          <w:szCs w:val="24"/>
        </w:rPr>
      </w:pPr>
      <w:r w:rsidRPr="07C34596" w:rsidR="5A8BE07C">
        <w:rPr>
          <w:rFonts w:ascii="Times New Roman" w:hAnsi="Times New Roman" w:eastAsia="Times New Roman" w:cs="Times New Roman"/>
          <w:color w:val="auto"/>
          <w:sz w:val="24"/>
          <w:szCs w:val="24"/>
        </w:rPr>
        <w:t>Step 2:</w:t>
      </w:r>
    </w:p>
    <w:p xmlns:wp14="http://schemas.microsoft.com/office/word/2010/wordml" w:rsidP="07C34596" wp14:paraId="7F8862F9" wp14:textId="4EDCDF6D">
      <w:pPr>
        <w:pStyle w:val="ListParagraph"/>
        <w:ind w:left="720"/>
        <w:rPr>
          <w:rFonts w:ascii="Times New Roman" w:hAnsi="Times New Roman" w:eastAsia="Times New Roman" w:cs="Times New Roman"/>
          <w:color w:val="auto"/>
          <w:sz w:val="24"/>
          <w:szCs w:val="24"/>
        </w:rPr>
      </w:pPr>
      <w:r w:rsidRPr="07C34596" w:rsidR="5A8BE07C">
        <w:rPr>
          <w:rFonts w:ascii="Times New Roman" w:hAnsi="Times New Roman" w:eastAsia="Times New Roman" w:cs="Times New Roman"/>
          <w:color w:val="auto"/>
          <w:sz w:val="24"/>
          <w:szCs w:val="24"/>
        </w:rPr>
        <w:t xml:space="preserve">Since </w:t>
      </w:r>
      <w:r w:rsidRPr="07C34596" w:rsidR="5A8BE07C">
        <w:rPr>
          <w:rFonts w:ascii="Times New Roman" w:hAnsi="Times New Roman" w:eastAsia="Times New Roman" w:cs="Times New Roman"/>
          <w:color w:val="auto"/>
          <w:sz w:val="24"/>
          <w:szCs w:val="24"/>
        </w:rPr>
        <w:t>we’re</w:t>
      </w:r>
      <w:r w:rsidRPr="07C34596" w:rsidR="5A8BE07C">
        <w:rPr>
          <w:rFonts w:ascii="Times New Roman" w:hAnsi="Times New Roman" w:eastAsia="Times New Roman" w:cs="Times New Roman"/>
          <w:color w:val="auto"/>
          <w:sz w:val="24"/>
          <w:szCs w:val="24"/>
        </w:rPr>
        <w:t xml:space="preserve"> comparing numerical data over periods of time, the ANOVA test is the best test</w:t>
      </w:r>
    </w:p>
    <w:p xmlns:wp14="http://schemas.microsoft.com/office/word/2010/wordml" w:rsidP="07C34596" wp14:paraId="59195131" wp14:textId="48D09154">
      <w:pPr>
        <w:pStyle w:val="ListParagraph"/>
        <w:numPr>
          <w:ilvl w:val="0"/>
          <w:numId w:val="8"/>
        </w:numPr>
        <w:rPr>
          <w:rFonts w:ascii="Times New Roman" w:hAnsi="Times New Roman" w:eastAsia="Times New Roman" w:cs="Times New Roman"/>
          <w:color w:val="auto"/>
          <w:sz w:val="24"/>
          <w:szCs w:val="24"/>
        </w:rPr>
      </w:pPr>
      <w:r w:rsidRPr="07C34596" w:rsidR="5A8BE07C">
        <w:rPr>
          <w:rFonts w:ascii="Times New Roman" w:hAnsi="Times New Roman" w:eastAsia="Times New Roman" w:cs="Times New Roman"/>
          <w:color w:val="auto"/>
          <w:sz w:val="24"/>
          <w:szCs w:val="24"/>
        </w:rPr>
        <w:t>Step 3:</w:t>
      </w:r>
    </w:p>
    <w:p xmlns:wp14="http://schemas.microsoft.com/office/word/2010/wordml" w:rsidP="07C34596" wp14:paraId="1B0EDFA1" wp14:textId="3BEA3C57">
      <w:pPr>
        <w:pStyle w:val="ListParagraph"/>
        <w:ind w:left="720" w:firstLine="720"/>
        <w:rPr>
          <w:rFonts w:ascii="Times New Roman" w:hAnsi="Times New Roman" w:eastAsia="Times New Roman" w:cs="Times New Roman"/>
          <w:color w:val="auto"/>
          <w:sz w:val="24"/>
          <w:szCs w:val="24"/>
        </w:rPr>
      </w:pPr>
      <w:r w:rsidRPr="07C34596" w:rsidR="6238F7B6">
        <w:rPr>
          <w:rFonts w:ascii="Times New Roman" w:hAnsi="Times New Roman" w:eastAsia="Times New Roman" w:cs="Times New Roman"/>
          <w:color w:val="auto"/>
          <w:sz w:val="24"/>
          <w:szCs w:val="24"/>
        </w:rPr>
        <w:t xml:space="preserve"> p-value = 1.5862346891804615e-24 </w:t>
      </w:r>
    </w:p>
    <w:p xmlns:wp14="http://schemas.microsoft.com/office/word/2010/wordml" w:rsidP="07C34596" wp14:paraId="4E79C0DD" wp14:textId="5F722D0E">
      <w:pPr>
        <w:pStyle w:val="ListParagraph"/>
        <w:numPr>
          <w:ilvl w:val="0"/>
          <w:numId w:val="8"/>
        </w:numPr>
        <w:rPr>
          <w:rFonts w:ascii="Times New Roman" w:hAnsi="Times New Roman" w:eastAsia="Times New Roman" w:cs="Times New Roman"/>
          <w:color w:val="auto"/>
          <w:sz w:val="24"/>
          <w:szCs w:val="24"/>
        </w:rPr>
      </w:pPr>
      <w:r w:rsidRPr="07C34596" w:rsidR="5A8BE07C">
        <w:rPr>
          <w:rFonts w:ascii="Times New Roman" w:hAnsi="Times New Roman" w:eastAsia="Times New Roman" w:cs="Times New Roman"/>
          <w:color w:val="auto"/>
          <w:sz w:val="24"/>
          <w:szCs w:val="24"/>
        </w:rPr>
        <w:t>Step 4:</w:t>
      </w:r>
    </w:p>
    <w:p xmlns:wp14="http://schemas.microsoft.com/office/word/2010/wordml" w:rsidP="07C34596" wp14:paraId="0B70B447" wp14:textId="483C829C">
      <w:pPr>
        <w:pStyle w:val="ListParagraph"/>
        <w:ind w:left="720"/>
        <w:rPr>
          <w:rFonts w:ascii="Times New Roman" w:hAnsi="Times New Roman" w:eastAsia="Times New Roman" w:cs="Times New Roman"/>
          <w:color w:val="auto"/>
          <w:sz w:val="24"/>
          <w:szCs w:val="24"/>
        </w:rPr>
      </w:pPr>
      <w:r w:rsidRPr="07C34596" w:rsidR="3E9AD28B">
        <w:rPr>
          <w:rFonts w:ascii="Times New Roman" w:hAnsi="Times New Roman" w:eastAsia="Times New Roman" w:cs="Times New Roman"/>
          <w:color w:val="auto"/>
          <w:sz w:val="24"/>
          <w:szCs w:val="24"/>
        </w:rPr>
        <w:t>With significance level of 0.05, the null hypothe</w:t>
      </w:r>
      <w:r w:rsidRPr="07C34596" w:rsidR="6FD05796">
        <w:rPr>
          <w:rFonts w:ascii="Times New Roman" w:hAnsi="Times New Roman" w:eastAsia="Times New Roman" w:cs="Times New Roman"/>
          <w:color w:val="auto"/>
          <w:sz w:val="24"/>
          <w:szCs w:val="24"/>
        </w:rPr>
        <w:t>sis is rejected</w:t>
      </w:r>
      <w:r w:rsidRPr="07C34596" w:rsidR="0CA46BC7">
        <w:rPr>
          <w:rFonts w:ascii="Times New Roman" w:hAnsi="Times New Roman" w:eastAsia="Times New Roman" w:cs="Times New Roman"/>
          <w:color w:val="auto"/>
          <w:sz w:val="24"/>
          <w:szCs w:val="24"/>
        </w:rPr>
        <w:t>. It is statistically significant that the means of the 2 groups are different</w:t>
      </w:r>
      <w:r w:rsidRPr="07C34596" w:rsidR="2FA9CFC1">
        <w:rPr>
          <w:rFonts w:ascii="Times New Roman" w:hAnsi="Times New Roman" w:eastAsia="Times New Roman" w:cs="Times New Roman"/>
          <w:color w:val="auto"/>
          <w:sz w:val="24"/>
          <w:szCs w:val="24"/>
        </w:rPr>
        <w:t xml:space="preserve">, and that the average close price from October 2022 to May 2023 is greater than the average from </w:t>
      </w:r>
      <w:r w:rsidRPr="07C34596" w:rsidR="7E4652F3">
        <w:rPr>
          <w:rFonts w:ascii="Times New Roman" w:hAnsi="Times New Roman" w:eastAsia="Times New Roman" w:cs="Times New Roman"/>
          <w:color w:val="auto"/>
          <w:sz w:val="24"/>
          <w:szCs w:val="24"/>
        </w:rPr>
        <w:t>October</w:t>
      </w:r>
      <w:r w:rsidRPr="07C34596" w:rsidR="2FA9CFC1">
        <w:rPr>
          <w:rFonts w:ascii="Times New Roman" w:hAnsi="Times New Roman" w:eastAsia="Times New Roman" w:cs="Times New Roman"/>
          <w:color w:val="auto"/>
          <w:sz w:val="24"/>
          <w:szCs w:val="24"/>
        </w:rPr>
        <w:t xml:space="preserve"> 2023 to </w:t>
      </w:r>
      <w:r w:rsidRPr="07C34596" w:rsidR="24AC0B76">
        <w:rPr>
          <w:rFonts w:ascii="Times New Roman" w:hAnsi="Times New Roman" w:eastAsia="Times New Roman" w:cs="Times New Roman"/>
          <w:color w:val="auto"/>
          <w:sz w:val="24"/>
          <w:szCs w:val="24"/>
        </w:rPr>
        <w:t>May</w:t>
      </w:r>
      <w:r w:rsidRPr="07C34596" w:rsidR="2FA9CFC1">
        <w:rPr>
          <w:rFonts w:ascii="Times New Roman" w:hAnsi="Times New Roman" w:eastAsia="Times New Roman" w:cs="Times New Roman"/>
          <w:color w:val="auto"/>
          <w:sz w:val="24"/>
          <w:szCs w:val="24"/>
        </w:rPr>
        <w:t xml:space="preserve"> 2024</w:t>
      </w:r>
    </w:p>
    <w:p xmlns:wp14="http://schemas.microsoft.com/office/word/2010/wordml" w:rsidP="07C34596" wp14:paraId="50D243D7" wp14:textId="6907B519">
      <w:pPr>
        <w:pStyle w:val="Normal"/>
        <w:rPr>
          <w:rFonts w:ascii="Times New Roman" w:hAnsi="Times New Roman" w:eastAsia="Times New Roman" w:cs="Times New Roman"/>
          <w:color w:val="auto"/>
          <w:sz w:val="24"/>
          <w:szCs w:val="24"/>
        </w:rPr>
      </w:pPr>
    </w:p>
    <w:p xmlns:wp14="http://schemas.microsoft.com/office/word/2010/wordml" w:rsidP="07C34596" wp14:paraId="5D9310DD" wp14:textId="4685ECB1">
      <w:pPr>
        <w:pStyle w:val="ListParagraph"/>
        <w:numPr>
          <w:ilvl w:val="0"/>
          <w:numId w:val="6"/>
        </w:numPr>
        <w:rPr>
          <w:rFonts w:ascii="Times New Roman" w:hAnsi="Times New Roman" w:eastAsia="Times New Roman" w:cs="Times New Roman"/>
          <w:b w:val="1"/>
          <w:bCs w:val="1"/>
          <w:color w:val="auto"/>
          <w:sz w:val="30"/>
          <w:szCs w:val="30"/>
        </w:rPr>
      </w:pPr>
      <w:r w:rsidRPr="07C34596" w:rsidR="5A8BE07C">
        <w:rPr>
          <w:rFonts w:ascii="Times New Roman" w:hAnsi="Times New Roman" w:eastAsia="Times New Roman" w:cs="Times New Roman"/>
          <w:b w:val="1"/>
          <w:bCs w:val="1"/>
          <w:color w:val="auto"/>
          <w:sz w:val="30"/>
          <w:szCs w:val="30"/>
        </w:rPr>
        <w:t>Hypothesis testing for the volume</w:t>
      </w:r>
    </w:p>
    <w:p xmlns:wp14="http://schemas.microsoft.com/office/word/2010/wordml" w:rsidP="07C34596" wp14:paraId="48AA558C" wp14:textId="5C70184A">
      <w:pPr>
        <w:pStyle w:val="ListParagraph"/>
        <w:ind w:left="720"/>
        <w:rPr>
          <w:rFonts w:ascii="Times New Roman" w:hAnsi="Times New Roman" w:eastAsia="Times New Roman" w:cs="Times New Roman"/>
          <w:b w:val="1"/>
          <w:bCs w:val="1"/>
          <w:color w:val="auto"/>
          <w:sz w:val="30"/>
          <w:szCs w:val="30"/>
        </w:rPr>
      </w:pPr>
    </w:p>
    <w:p xmlns:wp14="http://schemas.microsoft.com/office/word/2010/wordml" w:rsidP="07C34596" wp14:paraId="7BBC1CF7" wp14:textId="6EAC1E66">
      <w:pPr>
        <w:pStyle w:val="ListParagraph"/>
        <w:numPr>
          <w:ilvl w:val="0"/>
          <w:numId w:val="8"/>
        </w:numPr>
        <w:rPr>
          <w:rFonts w:ascii="Times New Roman" w:hAnsi="Times New Roman" w:eastAsia="Times New Roman" w:cs="Times New Roman"/>
          <w:noProof w:val="0"/>
          <w:sz w:val="24"/>
          <w:szCs w:val="24"/>
          <w:lang w:val="en-US"/>
        </w:rPr>
      </w:pPr>
      <w:r w:rsidRPr="07C34596" w:rsidR="68E7CF4B">
        <w:rPr>
          <w:rFonts w:ascii="Times New Roman" w:hAnsi="Times New Roman" w:eastAsia="Times New Roman" w:cs="Times New Roman"/>
          <w:color w:val="auto"/>
          <w:sz w:val="24"/>
          <w:szCs w:val="24"/>
        </w:rPr>
        <w:t>Step 1:</w:t>
      </w:r>
    </w:p>
    <w:p xmlns:wp14="http://schemas.microsoft.com/office/word/2010/wordml" w:rsidP="07C34596" wp14:paraId="1E959BC5" wp14:textId="5239DA13">
      <w:pPr>
        <w:pStyle w:val="Normal"/>
        <w:ind w:left="720"/>
        <w:rPr>
          <w:rFonts w:ascii="Times New Roman" w:hAnsi="Times New Roman" w:eastAsia="Times New Roman" w:cs="Times New Roman"/>
          <w:noProof w:val="0"/>
          <w:sz w:val="24"/>
          <w:szCs w:val="24"/>
          <w:lang w:val="en-US"/>
        </w:rPr>
      </w:pPr>
      <w:r w:rsidRPr="07C34596" w:rsidR="4F4A1531">
        <w:rPr>
          <w:rFonts w:ascii="Times New Roman" w:hAnsi="Times New Roman" w:eastAsia="Times New Roman" w:cs="Times New Roman"/>
          <w:noProof w:val="0"/>
          <w:u w:val="single"/>
          <w:lang w:val="en-US"/>
        </w:rPr>
        <w:t>Null Hypothesis:</w:t>
      </w:r>
      <w:r w:rsidRPr="07C34596" w:rsidR="4F4A1531">
        <w:rPr>
          <w:rFonts w:ascii="Times New Roman" w:hAnsi="Times New Roman" w:eastAsia="Times New Roman" w:cs="Times New Roman"/>
          <w:noProof w:val="0"/>
          <w:lang w:val="en-US"/>
        </w:rPr>
        <w:t xml:space="preserve"> </w:t>
      </w:r>
      <w:r w:rsidRPr="07C34596" w:rsidR="4F4A1531">
        <w:rPr>
          <w:rFonts w:ascii="Times New Roman" w:hAnsi="Times New Roman" w:eastAsia="Times New Roman" w:cs="Times New Roman"/>
          <w:noProof w:val="0"/>
          <w:sz w:val="24"/>
          <w:szCs w:val="24"/>
          <w:lang w:val="en-US"/>
        </w:rPr>
        <w:t>There is no difference between the means of volume in from October 2022 to May 2023 and from October 2023 to May 2024</w:t>
      </w:r>
    </w:p>
    <w:p xmlns:wp14="http://schemas.microsoft.com/office/word/2010/wordml" w:rsidP="07C34596" wp14:paraId="7CA4DC46" wp14:textId="03339CF3">
      <w:pPr>
        <w:pStyle w:val="Normal"/>
        <w:ind w:left="720"/>
        <w:rPr>
          <w:rFonts w:ascii="Times New Roman" w:hAnsi="Times New Roman" w:eastAsia="Times New Roman" w:cs="Times New Roman"/>
          <w:noProof w:val="0"/>
          <w:u w:val="single"/>
          <w:lang w:val="en-US"/>
        </w:rPr>
      </w:pPr>
      <w:r w:rsidRPr="07C34596" w:rsidR="4F4A1531">
        <w:rPr>
          <w:rFonts w:ascii="Times New Roman" w:hAnsi="Times New Roman" w:eastAsia="Times New Roman" w:cs="Times New Roman"/>
          <w:noProof w:val="0"/>
          <w:u w:val="single"/>
          <w:lang w:val="en-US"/>
        </w:rPr>
        <w:t>Alternative Hypothesis:</w:t>
      </w:r>
      <w:r w:rsidRPr="07C34596" w:rsidR="4F4A1531">
        <w:rPr>
          <w:rFonts w:ascii="Times New Roman" w:hAnsi="Times New Roman" w:eastAsia="Times New Roman" w:cs="Times New Roman"/>
          <w:noProof w:val="0"/>
          <w:u w:val="none"/>
          <w:lang w:val="en-US"/>
        </w:rPr>
        <w:t xml:space="preserve"> </w:t>
      </w:r>
      <w:r w:rsidRPr="07C34596" w:rsidR="4F4A1531">
        <w:rPr>
          <w:rFonts w:ascii="Times New Roman" w:hAnsi="Times New Roman" w:eastAsia="Times New Roman" w:cs="Times New Roman"/>
          <w:noProof w:val="0"/>
          <w:sz w:val="24"/>
          <w:szCs w:val="24"/>
          <w:lang w:val="en-US"/>
        </w:rPr>
        <w:t>The average volume in the first period is less than the latest</w:t>
      </w:r>
    </w:p>
    <w:p xmlns:wp14="http://schemas.microsoft.com/office/word/2010/wordml" w:rsidP="07C34596" wp14:paraId="0EA0623F" wp14:textId="05155320">
      <w:pPr>
        <w:pStyle w:val="ListParagraph"/>
        <w:numPr>
          <w:ilvl w:val="0"/>
          <w:numId w:val="8"/>
        </w:numPr>
        <w:rPr>
          <w:rFonts w:ascii="Times New Roman" w:hAnsi="Times New Roman" w:eastAsia="Times New Roman" w:cs="Times New Roman"/>
          <w:color w:val="auto"/>
          <w:sz w:val="24"/>
          <w:szCs w:val="24"/>
        </w:rPr>
      </w:pPr>
      <w:r w:rsidRPr="07C34596" w:rsidR="68E7CF4B">
        <w:rPr>
          <w:rFonts w:ascii="Times New Roman" w:hAnsi="Times New Roman" w:eastAsia="Times New Roman" w:cs="Times New Roman"/>
          <w:color w:val="auto"/>
          <w:sz w:val="24"/>
          <w:szCs w:val="24"/>
        </w:rPr>
        <w:t>Step 2:</w:t>
      </w:r>
    </w:p>
    <w:p xmlns:wp14="http://schemas.microsoft.com/office/word/2010/wordml" w:rsidP="07C34596" wp14:paraId="34AB91DB" wp14:textId="4EDCDF6D">
      <w:pPr>
        <w:pStyle w:val="ListParagraph"/>
        <w:ind w:left="720"/>
        <w:rPr>
          <w:rFonts w:ascii="Times New Roman" w:hAnsi="Times New Roman" w:eastAsia="Times New Roman" w:cs="Times New Roman"/>
          <w:color w:val="auto"/>
          <w:sz w:val="24"/>
          <w:szCs w:val="24"/>
        </w:rPr>
      </w:pPr>
      <w:r w:rsidRPr="07C34596" w:rsidR="68E7CF4B">
        <w:rPr>
          <w:rFonts w:ascii="Times New Roman" w:hAnsi="Times New Roman" w:eastAsia="Times New Roman" w:cs="Times New Roman"/>
          <w:color w:val="auto"/>
          <w:sz w:val="24"/>
          <w:szCs w:val="24"/>
        </w:rPr>
        <w:t>Since we’re comparing numerical data over periods of time, the ANOVA test is the best test</w:t>
      </w:r>
    </w:p>
    <w:p xmlns:wp14="http://schemas.microsoft.com/office/word/2010/wordml" w:rsidP="07C34596" wp14:paraId="15EE6DFF" wp14:textId="48D09154">
      <w:pPr>
        <w:pStyle w:val="ListParagraph"/>
        <w:numPr>
          <w:ilvl w:val="0"/>
          <w:numId w:val="8"/>
        </w:numPr>
        <w:rPr>
          <w:rFonts w:ascii="Times New Roman" w:hAnsi="Times New Roman" w:eastAsia="Times New Roman" w:cs="Times New Roman"/>
          <w:color w:val="auto"/>
          <w:sz w:val="24"/>
          <w:szCs w:val="24"/>
        </w:rPr>
      </w:pPr>
      <w:r w:rsidRPr="07C34596" w:rsidR="68E7CF4B">
        <w:rPr>
          <w:rFonts w:ascii="Times New Roman" w:hAnsi="Times New Roman" w:eastAsia="Times New Roman" w:cs="Times New Roman"/>
          <w:color w:val="auto"/>
          <w:sz w:val="24"/>
          <w:szCs w:val="24"/>
        </w:rPr>
        <w:t>Step 3:</w:t>
      </w:r>
    </w:p>
    <w:p xmlns:wp14="http://schemas.microsoft.com/office/word/2010/wordml" w:rsidP="07C34596" wp14:paraId="7BA08B7A" wp14:textId="6A1FC51B">
      <w:pPr>
        <w:pStyle w:val="ListParagraph"/>
        <w:ind w:left="720" w:firstLine="720"/>
        <w:rPr>
          <w:rFonts w:ascii="Times New Roman" w:hAnsi="Times New Roman" w:eastAsia="Times New Roman" w:cs="Times New Roman"/>
          <w:color w:val="auto"/>
          <w:sz w:val="24"/>
          <w:szCs w:val="24"/>
        </w:rPr>
      </w:pPr>
      <w:r w:rsidRPr="07C34596" w:rsidR="68E7CF4B">
        <w:rPr>
          <w:rFonts w:ascii="Times New Roman" w:hAnsi="Times New Roman" w:eastAsia="Times New Roman" w:cs="Times New Roman"/>
          <w:color w:val="auto"/>
          <w:sz w:val="24"/>
          <w:szCs w:val="24"/>
        </w:rPr>
        <w:t xml:space="preserve"> p-value = </w:t>
      </w:r>
      <w:r w:rsidRPr="07C34596" w:rsidR="4570B428">
        <w:rPr>
          <w:rFonts w:ascii="Times New Roman" w:hAnsi="Times New Roman" w:eastAsia="Times New Roman" w:cs="Times New Roman"/>
          <w:color w:val="auto"/>
          <w:sz w:val="24"/>
          <w:szCs w:val="24"/>
        </w:rPr>
        <w:t>1.524511637171421e-06</w:t>
      </w:r>
    </w:p>
    <w:p xmlns:wp14="http://schemas.microsoft.com/office/word/2010/wordml" w:rsidP="07C34596" wp14:paraId="5FF5E420" wp14:textId="5F722D0E">
      <w:pPr>
        <w:pStyle w:val="ListParagraph"/>
        <w:numPr>
          <w:ilvl w:val="0"/>
          <w:numId w:val="8"/>
        </w:numPr>
        <w:rPr>
          <w:rFonts w:ascii="Times New Roman" w:hAnsi="Times New Roman" w:eastAsia="Times New Roman" w:cs="Times New Roman"/>
          <w:color w:val="auto"/>
          <w:sz w:val="24"/>
          <w:szCs w:val="24"/>
        </w:rPr>
      </w:pPr>
      <w:r w:rsidRPr="07C34596" w:rsidR="68E7CF4B">
        <w:rPr>
          <w:rFonts w:ascii="Times New Roman" w:hAnsi="Times New Roman" w:eastAsia="Times New Roman" w:cs="Times New Roman"/>
          <w:color w:val="auto"/>
          <w:sz w:val="24"/>
          <w:szCs w:val="24"/>
        </w:rPr>
        <w:t>Step 4:</w:t>
      </w:r>
    </w:p>
    <w:p xmlns:wp14="http://schemas.microsoft.com/office/word/2010/wordml" w:rsidP="07C34596" wp14:paraId="15F84C74" wp14:textId="7350CEA0">
      <w:pPr>
        <w:pStyle w:val="ListParagraph"/>
        <w:ind w:left="720"/>
        <w:rPr>
          <w:rFonts w:ascii="Times New Roman" w:hAnsi="Times New Roman" w:eastAsia="Times New Roman" w:cs="Times New Roman"/>
          <w:color w:val="auto"/>
          <w:sz w:val="24"/>
          <w:szCs w:val="24"/>
        </w:rPr>
      </w:pPr>
      <w:r w:rsidRPr="07C34596" w:rsidR="68E7CF4B">
        <w:rPr>
          <w:rFonts w:ascii="Times New Roman" w:hAnsi="Times New Roman" w:eastAsia="Times New Roman" w:cs="Times New Roman"/>
          <w:color w:val="auto"/>
          <w:sz w:val="24"/>
          <w:szCs w:val="24"/>
        </w:rPr>
        <w:t>With significance level of 0.05, the null hypothesis is rejected. It is statistically significant that the means of the 2 groups are different.</w:t>
      </w:r>
    </w:p>
    <w:p xmlns:wp14="http://schemas.microsoft.com/office/word/2010/wordml" w:rsidP="07C34596" wp14:paraId="027F0002" wp14:textId="7E7C8B86">
      <w:pPr>
        <w:pStyle w:val="ListParagraph"/>
        <w:ind w:left="720"/>
        <w:rPr>
          <w:rFonts w:ascii="Times New Roman" w:hAnsi="Times New Roman" w:eastAsia="Times New Roman" w:cs="Times New Roman"/>
          <w:color w:val="auto"/>
          <w:sz w:val="24"/>
          <w:szCs w:val="24"/>
        </w:rPr>
      </w:pPr>
    </w:p>
    <w:p xmlns:wp14="http://schemas.microsoft.com/office/word/2010/wordml" w:rsidP="07C34596" wp14:paraId="30A0F5E6" wp14:textId="2CE8F09C">
      <w:pPr>
        <w:pStyle w:val="Heading1"/>
        <w:spacing w:before="240" w:beforeAutospacing="off" w:after="0" w:afterAutospacing="off"/>
      </w:pPr>
      <w:r w:rsidRPr="07C34596" w:rsidR="325A5C54">
        <w:rPr>
          <w:rFonts w:ascii="Calibri" w:hAnsi="Calibri" w:eastAsia="Calibri" w:cs="Calibri"/>
          <w:b w:val="0"/>
          <w:bCs w:val="0"/>
          <w:i w:val="0"/>
          <w:iCs w:val="0"/>
          <w:strike w:val="0"/>
          <w:dstrike w:val="0"/>
          <w:noProof w:val="0"/>
          <w:color w:val="2F5496"/>
          <w:sz w:val="32"/>
          <w:szCs w:val="32"/>
          <w:u w:val="none"/>
          <w:lang w:val="en-US"/>
        </w:rPr>
        <w:t xml:space="preserve">Conclusion </w:t>
      </w:r>
    </w:p>
    <w:p xmlns:wp14="http://schemas.microsoft.com/office/word/2010/wordml" w:rsidP="07C34596" wp14:paraId="5AB92A69" wp14:textId="37420681">
      <w:pPr>
        <w:pStyle w:val="Normal"/>
        <w:spacing w:before="280" w:beforeAutospacing="off" w:after="280" w:afterAutospacing="off"/>
        <w:ind w:left="10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64389D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Hypothesis 1, where the Null Hypothesis is that there is no difference between the means of close prices for the two periods, and the Alternative Hypothesis is that the average close price in the former period is less than the latter, the p-value obtained was less than 0.05. Therefore, the Null Hypothesis is rejected.</w:t>
      </w:r>
      <w:r>
        <w:br/>
      </w:r>
      <w:r>
        <w:br/>
      </w:r>
      <w:r w:rsidRPr="07C34596" w:rsidR="64389D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Similarly for Hypothesis 2, where the Null Hypothesis is that there is no difference between the means of volumes for the two periods, the p-value obtained was again less than 0.05, so the Null Hypothesis was rejected again.</w:t>
      </w:r>
      <w:r>
        <w:br/>
      </w:r>
      <w:r>
        <w:br/>
      </w:r>
      <w:r w:rsidRPr="07C34596" w:rsidR="64389D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conclusion, at the 5% significance level, there is evidence that is sufficient to support the claim that there is a difference between the means of close prices and volumes for the periods from October 2022 to May 2023 and October 2023 to May 2024.</w:t>
      </w:r>
    </w:p>
    <w:p xmlns:wp14="http://schemas.microsoft.com/office/word/2010/wordml" w:rsidP="07C34596" wp14:paraId="6DB613F6" wp14:textId="24902454">
      <w:pPr>
        <w:pStyle w:val="Normal"/>
        <w:spacing w:before="280" w:beforeAutospacing="off" w:after="280" w:afterAutospacing="off"/>
        <w:ind w:left="10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Despite the general expectation for </w:t>
      </w:r>
      <w:bookmarkStart w:name="_Int_JzGS3HeH" w:id="1949644938"/>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close</w:t>
      </w:r>
      <w:bookmarkEnd w:id="1949644938"/>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prices to increase annually, there has been an unusual decrease in the average </w:t>
      </w:r>
      <w:bookmarkStart w:name="_Int_rezGNDaD" w:id="1728137392"/>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close</w:t>
      </w:r>
      <w:bookmarkEnd w:id="1728137392"/>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price. </w:t>
      </w:r>
      <w:r w:rsidRPr="07C34596" w:rsidR="6F47C24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By</w:t>
      </w:r>
      <w:r w:rsidRPr="07C34596" w:rsidR="3188CF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7C34596" w:rsidR="3188CF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eliminating</w:t>
      </w:r>
      <w:r w:rsidRPr="07C34596" w:rsidR="3188CF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some </w:t>
      </w:r>
      <w:r w:rsidRPr="07C34596" w:rsidR="3188CF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cofounding</w:t>
      </w:r>
      <w:r w:rsidRPr="07C34596" w:rsidR="3188CF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variables, t</w:t>
      </w:r>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his is </w:t>
      </w:r>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most likely influenced</w:t>
      </w:r>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by the recent boycott</w:t>
      </w:r>
      <w:r w:rsidRPr="07C34596" w:rsidR="66A2DF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had a substantial impact. However, it is important to note that while the boycott is a plausible explanation, there is no definitive answer as other factors may also contribute to this unexpected trend</w:t>
      </w:r>
      <w:r w:rsidRPr="07C34596" w:rsidR="1BE4AE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7C34596" w:rsidR="7B7822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7C34596" w:rsidR="7B7822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07C34596" wp14:paraId="29CDAF31" wp14:textId="1B6D95D8">
      <w:pPr>
        <w:pStyle w:val="Heading1"/>
        <w:spacing w:before="240" w:beforeAutospacing="off" w:after="0" w:afterAutospacing="off"/>
      </w:pPr>
      <w:r w:rsidRPr="07C34596" w:rsidR="325A5C54">
        <w:rPr>
          <w:rFonts w:ascii="Calibri" w:hAnsi="Calibri" w:eastAsia="Calibri" w:cs="Calibri"/>
          <w:b w:val="0"/>
          <w:bCs w:val="0"/>
          <w:i w:val="0"/>
          <w:iCs w:val="0"/>
          <w:strike w:val="0"/>
          <w:dstrike w:val="0"/>
          <w:noProof w:val="0"/>
          <w:color w:val="2F5496"/>
          <w:sz w:val="32"/>
          <w:szCs w:val="32"/>
          <w:u w:val="none"/>
          <w:lang w:val="en-US"/>
        </w:rPr>
        <w:t xml:space="preserve">Any potential issues </w:t>
      </w:r>
    </w:p>
    <w:p xmlns:wp14="http://schemas.microsoft.com/office/word/2010/wordml" w:rsidP="07C34596" wp14:paraId="0E1289C7" wp14:textId="5506DF10">
      <w:pPr>
        <w:pStyle w:val="Normal"/>
        <w:rPr>
          <w:noProof w:val="0"/>
          <w:lang w:val="en-US"/>
        </w:rPr>
      </w:pPr>
    </w:p>
    <w:p xmlns:wp14="http://schemas.microsoft.com/office/word/2010/wordml" w:rsidP="07C34596" wp14:paraId="74D32EB6" wp14:textId="2871E0A1">
      <w:pPr>
        <w:pStyle w:val="Normal"/>
        <w:rPr>
          <w:noProof w:val="0"/>
          <w:lang w:val="en-US"/>
        </w:rPr>
      </w:pPr>
      <w:r w:rsidRPr="07C34596" w:rsidR="74404E9D">
        <w:rPr>
          <w:noProof w:val="0"/>
          <w:lang w:val="en-US"/>
        </w:rPr>
        <w:t>One potential issue in our research is the limited availability of datasets for the stock prices of Starbucks' competitors. Many competitors are privately held and do not disclose their stock prices, which restricts our ability to include a comprehensive analysis of market trends within the industry. Access to these datasets would have allowed for a more thorough elimination of confounding variables, providing a clearer understanding of the specific impacts of boycotting on Starbucks' stock prices. This data limitation highlights the challenges faced in market analysis when critical information is unavailable.</w:t>
      </w:r>
    </w:p>
    <w:p xmlns:wp14="http://schemas.microsoft.com/office/word/2010/wordml" w:rsidP="07C34596" wp14:paraId="01228302" wp14:textId="659AD01F">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strike w:val="0"/>
          <w:dstrike w:val="0"/>
          <w:noProof w:val="0"/>
          <w:color w:val="2F5496"/>
          <w:sz w:val="32"/>
          <w:szCs w:val="32"/>
          <w:u w:val="none"/>
          <w:lang w:val="en-US"/>
        </w:rPr>
      </w:pPr>
    </w:p>
    <w:p xmlns:wp14="http://schemas.microsoft.com/office/word/2010/wordml" w:rsidP="07C34596" wp14:paraId="2DDB9A1F" wp14:textId="3F7D69D9">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strike w:val="0"/>
          <w:dstrike w:val="0"/>
          <w:noProof w:val="0"/>
          <w:color w:val="2F5496"/>
          <w:sz w:val="32"/>
          <w:szCs w:val="32"/>
          <w:u w:val="none"/>
          <w:lang w:val="en-US"/>
        </w:rPr>
      </w:pPr>
      <w:r w:rsidRPr="07C34596" w:rsidR="736E0D21">
        <w:rPr>
          <w:rFonts w:ascii="Calibri" w:hAnsi="Calibri" w:eastAsia="Calibri" w:cs="Calibri"/>
          <w:b w:val="0"/>
          <w:bCs w:val="0"/>
          <w:i w:val="0"/>
          <w:iCs w:val="0"/>
          <w:strike w:val="0"/>
          <w:dstrike w:val="0"/>
          <w:noProof w:val="0"/>
          <w:color w:val="2F5496"/>
          <w:sz w:val="32"/>
          <w:szCs w:val="32"/>
          <w:u w:val="none"/>
          <w:lang w:val="en-US"/>
        </w:rPr>
        <w:t>Refere</w:t>
      </w:r>
      <w:r w:rsidRPr="07C34596" w:rsidR="736E0D21">
        <w:rPr>
          <w:rFonts w:ascii="Calibri" w:hAnsi="Calibri" w:eastAsia="Calibri" w:cs="Calibri"/>
          <w:b w:val="0"/>
          <w:bCs w:val="0"/>
          <w:i w:val="0"/>
          <w:iCs w:val="0"/>
          <w:strike w:val="0"/>
          <w:dstrike w:val="0"/>
          <w:noProof w:val="0"/>
          <w:color w:val="2F5496"/>
          <w:sz w:val="32"/>
          <w:szCs w:val="32"/>
          <w:u w:val="none"/>
          <w:lang w:val="en-US"/>
        </w:rPr>
        <w:t>nces</w:t>
      </w:r>
      <w:r w:rsidRPr="07C34596" w:rsidR="736E0D21">
        <w:rPr>
          <w:rFonts w:ascii="Calibri" w:hAnsi="Calibri" w:eastAsia="Calibri" w:cs="Calibri"/>
          <w:b w:val="0"/>
          <w:bCs w:val="0"/>
          <w:i w:val="0"/>
          <w:iCs w:val="0"/>
          <w:strike w:val="0"/>
          <w:dstrike w:val="0"/>
          <w:noProof w:val="0"/>
          <w:color w:val="2F5496"/>
          <w:sz w:val="32"/>
          <w:szCs w:val="32"/>
          <w:u w:val="none"/>
          <w:lang w:val="en-US"/>
        </w:rPr>
        <w:t>:</w:t>
      </w:r>
    </w:p>
    <w:p xmlns:wp14="http://schemas.microsoft.com/office/word/2010/wordml" w:rsidP="07C34596" wp14:paraId="608024BF" wp14:textId="62C19739">
      <w:pPr>
        <w:pStyle w:val="ListParagraph"/>
        <w:numPr>
          <w:ilvl w:val="0"/>
          <w:numId w:val="12"/>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0D7E7888">
        <w:rPr>
          <w:b w:val="0"/>
          <w:bCs w:val="0"/>
        </w:rPr>
        <w:t xml:space="preserve"> </w:t>
      </w:r>
      <w:hyperlink r:id="R6d13427273674584">
        <w:r w:rsidRPr="07C34596" w:rsidR="358164D4">
          <w:rPr>
            <w:rStyle w:val="Hyperlink"/>
            <w:rFonts w:ascii="system-ui" w:hAnsi="system-ui" w:eastAsia="system-ui" w:cs="system-ui"/>
            <w:b w:val="0"/>
            <w:bCs w:val="0"/>
            <w:i w:val="0"/>
            <w:iCs w:val="0"/>
            <w:caps w:val="0"/>
            <w:smallCaps w:val="0"/>
            <w:strike w:val="0"/>
            <w:dstrike w:val="0"/>
            <w:noProof w:val="0"/>
            <w:sz w:val="24"/>
            <w:szCs w:val="24"/>
            <w:lang w:val="en-US"/>
          </w:rPr>
          <w:t>Understanding Market Psychology</w:t>
        </w:r>
      </w:hyperlink>
    </w:p>
    <w:p xmlns:wp14="http://schemas.microsoft.com/office/word/2010/wordml" w:rsidP="07C34596" wp14:paraId="0188909F" wp14:textId="68668369">
      <w:pPr>
        <w:pStyle w:val="ListParagraph"/>
        <w:numPr>
          <w:ilvl w:val="0"/>
          <w:numId w:val="1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hyperlink r:id="R517741474b144afc">
        <w:r w:rsidRPr="07C34596" w:rsidR="358164D4">
          <w:rPr>
            <w:rStyle w:val="Hyperlink"/>
            <w:rFonts w:ascii="system-ui" w:hAnsi="system-ui" w:eastAsia="system-ui" w:cs="system-ui"/>
            <w:b w:val="0"/>
            <w:bCs w:val="0"/>
            <w:i w:val="0"/>
            <w:iCs w:val="0"/>
            <w:caps w:val="0"/>
            <w:smallCaps w:val="0"/>
            <w:strike w:val="0"/>
            <w:dstrike w:val="0"/>
            <w:noProof w:val="0"/>
            <w:sz w:val="24"/>
            <w:szCs w:val="24"/>
            <w:lang w:val="en-US"/>
          </w:rPr>
          <w:t>How Investor Sentiment Affects Stock Prices</w:t>
        </w:r>
      </w:hyperlink>
    </w:p>
    <w:p xmlns:wp14="http://schemas.microsoft.com/office/word/2010/wordml" w:rsidP="07C34596" wp14:paraId="6828E50F" wp14:textId="6CA4E835">
      <w:pPr>
        <w:pStyle w:val="ListParagraph"/>
        <w:numPr>
          <w:ilvl w:val="0"/>
          <w:numId w:val="12"/>
        </w:numPr>
        <w:suppressLineNumbers w:val="0"/>
        <w:bidi w:val="0"/>
        <w:spacing w:before="0" w:beforeAutospacing="off" w:after="160" w:afterAutospacing="off" w:line="279" w:lineRule="auto"/>
        <w:ind w:right="0"/>
        <w:jc w:val="left"/>
        <w:rPr>
          <w:b w:val="0"/>
          <w:bCs w:val="0"/>
        </w:rPr>
      </w:pPr>
      <w:hyperlink r:id="R3444ccf366ff499b">
        <w:r w:rsidRPr="07C34596" w:rsidR="0D7E7888">
          <w:rPr>
            <w:rStyle w:val="Hyperlink"/>
            <w:b w:val="0"/>
            <w:bCs w:val="0"/>
          </w:rPr>
          <w:t>Inflation rates 1960-2024</w:t>
        </w:r>
      </w:hyperlink>
    </w:p>
    <w:p xmlns:wp14="http://schemas.microsoft.com/office/word/2010/wordml" w:rsidP="07C34596" wp14:paraId="2F317019" wp14:textId="4DDF6810">
      <w:pPr>
        <w:pStyle w:val="ListParagraph"/>
        <w:numPr>
          <w:ilvl w:val="0"/>
          <w:numId w:val="12"/>
        </w:numPr>
        <w:rPr>
          <w:b w:val="0"/>
          <w:bCs w:val="0"/>
        </w:rPr>
      </w:pPr>
      <w:hyperlink r:id="Rd778d533df2b4986">
        <w:r w:rsidRPr="07C34596" w:rsidR="0D7E7888">
          <w:rPr>
            <w:rStyle w:val="Hyperlink"/>
            <w:b w:val="0"/>
            <w:bCs w:val="0"/>
          </w:rPr>
          <w:t>CPI over time</w:t>
        </w:r>
      </w:hyperlink>
    </w:p>
    <w:p xmlns:wp14="http://schemas.microsoft.com/office/word/2010/wordml" w:rsidP="07C34596" wp14:paraId="1E2FC4B7" wp14:textId="35717EA2">
      <w:pPr>
        <w:pStyle w:val="ListParagraph"/>
        <w:numPr>
          <w:ilvl w:val="0"/>
          <w:numId w:val="12"/>
        </w:numPr>
        <w:rPr>
          <w:b w:val="0"/>
          <w:bCs w:val="0"/>
        </w:rPr>
      </w:pPr>
      <w:hyperlink w:anchor=":~:text=stock%20market%20return%3F-,The%20average%20stock%20market%20return%20is%20about%2010%%20per%20year,rate%20is%20reduced%20by%20inflation" r:id="R0bda078985024b80">
        <w:r w:rsidRPr="07C34596" w:rsidR="005E1812">
          <w:rPr>
            <w:rStyle w:val="Hyperlink"/>
            <w:b w:val="0"/>
            <w:bCs w:val="0"/>
          </w:rPr>
          <w:t>Average increase of stock prices</w:t>
        </w:r>
      </w:hyperlink>
    </w:p>
    <w:p xmlns:wp14="http://schemas.microsoft.com/office/word/2010/wordml" w:rsidP="07C34596" wp14:paraId="057502B0" wp14:textId="3D81AAE8">
      <w:pPr>
        <w:pStyle w:val="ListParagraph"/>
        <w:numPr>
          <w:ilvl w:val="0"/>
          <w:numId w:val="12"/>
        </w:numPr>
        <w:rPr>
          <w:noProof w:val="0"/>
          <w:lang w:val="en-US"/>
        </w:rPr>
      </w:pPr>
      <w:hyperlink w:anchor="google_vignette" r:id="R634321db70014d6d">
        <w:r w:rsidRPr="07C34596" w:rsidR="20BDDE0B">
          <w:rPr>
            <w:rStyle w:val="Hyperlink"/>
            <w:noProof w:val="0"/>
            <w:lang w:val="en-US"/>
          </w:rPr>
          <w:t>COSTA COFFEE - price - share - stock-market (allbrands.markets)</w:t>
        </w:r>
      </w:hyperlink>
    </w:p>
    <w:p xmlns:wp14="http://schemas.microsoft.com/office/word/2010/wordml" w:rsidP="07C34596" wp14:paraId="2C078E63" wp14:textId="25A3771B">
      <w:pPr>
        <w:pStyle w:val="ListParagraph"/>
        <w:suppressLineNumbers w:val="0"/>
        <w:bidi w:val="0"/>
        <w:spacing w:before="0" w:beforeAutospacing="off" w:after="160" w:afterAutospacing="off" w:line="279" w:lineRule="auto"/>
        <w:ind w:left="720" w:right="0"/>
        <w:jc w:val="left"/>
        <w:rPr>
          <w:rFonts w:ascii="Calibri" w:hAnsi="Calibri" w:eastAsia="Calibri" w:cs="Calibri"/>
          <w:b w:val="0"/>
          <w:bCs w:val="0"/>
          <w:i w:val="0"/>
          <w:iCs w:val="0"/>
          <w:strike w:val="0"/>
          <w:dstrike w:val="0"/>
          <w:noProof w:val="0"/>
          <w:color w:val="auto"/>
          <w:sz w:val="32"/>
          <w:szCs w:val="32"/>
          <w:u w:val="none"/>
          <w:lang w:val="en-US"/>
        </w:rPr>
      </w:pPr>
    </w:p>
    <w:sectPr>
      <w:pgSz w:w="12240" w:h="15840" w:orient="portrait"/>
      <w:pgMar w:top="1440" w:right="1440" w:bottom="1440" w:left="1440" w:header="720" w:footer="720" w:gutter="0"/>
      <w:cols w:space="720"/>
      <w:docGrid w:linePitch="360"/>
      <w:headerReference w:type="default" r:id="R37969723a1104a7c"/>
      <w:footerReference w:type="default" r:id="R85b23d7642d549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C34596" w:rsidTr="07C34596" w14:paraId="7848F74D">
      <w:trPr>
        <w:trHeight w:val="300"/>
      </w:trPr>
      <w:tc>
        <w:tcPr>
          <w:tcW w:w="3120" w:type="dxa"/>
          <w:tcMar/>
        </w:tcPr>
        <w:p w:rsidR="07C34596" w:rsidP="07C34596" w:rsidRDefault="07C34596" w14:paraId="63A83D4F" w14:textId="09405426">
          <w:pPr>
            <w:pStyle w:val="Header"/>
            <w:bidi w:val="0"/>
            <w:ind w:left="-115"/>
            <w:jc w:val="left"/>
          </w:pPr>
        </w:p>
      </w:tc>
      <w:tc>
        <w:tcPr>
          <w:tcW w:w="3120" w:type="dxa"/>
          <w:tcMar/>
        </w:tcPr>
        <w:p w:rsidR="07C34596" w:rsidP="07C34596" w:rsidRDefault="07C34596" w14:paraId="79DC1F3A" w14:textId="69C85BFB">
          <w:pPr>
            <w:pStyle w:val="Header"/>
            <w:bidi w:val="0"/>
            <w:jc w:val="center"/>
          </w:pPr>
        </w:p>
      </w:tc>
      <w:tc>
        <w:tcPr>
          <w:tcW w:w="3120" w:type="dxa"/>
          <w:tcMar/>
        </w:tcPr>
        <w:p w:rsidR="07C34596" w:rsidP="07C34596" w:rsidRDefault="07C34596" w14:paraId="2D47A5C3" w14:textId="14116639">
          <w:pPr>
            <w:pStyle w:val="Header"/>
            <w:bidi w:val="0"/>
            <w:ind w:right="-115"/>
            <w:jc w:val="right"/>
          </w:pPr>
        </w:p>
      </w:tc>
    </w:tr>
  </w:tbl>
  <w:p w:rsidR="07C34596" w:rsidP="07C34596" w:rsidRDefault="07C34596" w14:paraId="64DF4DF1" w14:textId="2AC00A8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C34596" w:rsidTr="07C34596" w14:paraId="34C4225D">
      <w:trPr>
        <w:trHeight w:val="300"/>
      </w:trPr>
      <w:tc>
        <w:tcPr>
          <w:tcW w:w="3120" w:type="dxa"/>
          <w:tcMar/>
        </w:tcPr>
        <w:p w:rsidR="07C34596" w:rsidP="07C34596" w:rsidRDefault="07C34596" w14:paraId="0DFB325D" w14:textId="3B382C04">
          <w:pPr>
            <w:pStyle w:val="Header"/>
            <w:bidi w:val="0"/>
            <w:ind w:left="-115"/>
            <w:jc w:val="left"/>
          </w:pPr>
        </w:p>
      </w:tc>
      <w:tc>
        <w:tcPr>
          <w:tcW w:w="3120" w:type="dxa"/>
          <w:tcMar/>
        </w:tcPr>
        <w:p w:rsidR="07C34596" w:rsidP="07C34596" w:rsidRDefault="07C34596" w14:paraId="2ADA78D0" w14:textId="4AF7532C">
          <w:pPr>
            <w:pStyle w:val="Header"/>
            <w:bidi w:val="0"/>
            <w:jc w:val="center"/>
          </w:pPr>
        </w:p>
      </w:tc>
      <w:tc>
        <w:tcPr>
          <w:tcW w:w="3120" w:type="dxa"/>
          <w:tcMar/>
        </w:tcPr>
        <w:p w:rsidR="07C34596" w:rsidP="07C34596" w:rsidRDefault="07C34596" w14:paraId="36D762A0" w14:textId="5058EAAA">
          <w:pPr>
            <w:pStyle w:val="Header"/>
            <w:bidi w:val="0"/>
            <w:ind w:right="-115"/>
            <w:jc w:val="right"/>
          </w:pPr>
        </w:p>
      </w:tc>
    </w:tr>
  </w:tbl>
  <w:p w:rsidR="07C34596" w:rsidP="07C34596" w:rsidRDefault="07C34596" w14:paraId="71A4808F" w14:textId="62D83EEA">
    <w:pPr>
      <w:pStyle w:val="Header"/>
      <w:bidi w:val="0"/>
    </w:pPr>
  </w:p>
</w:hdr>
</file>

<file path=word/intelligence2.xml><?xml version="1.0" encoding="utf-8"?>
<int2:intelligence xmlns:int2="http://schemas.microsoft.com/office/intelligence/2020/intelligence">
  <int2:observations>
    <int2:bookmark int2:bookmarkName="_Int_rezGNDaD" int2:invalidationBookmarkName="" int2:hashCode="2jiGDLh1y2QJLk" int2:id="knIgq2nO">
      <int2:state int2:type="AugLoop_Text_Critique" int2:value="Rejected"/>
    </int2:bookmark>
    <int2:bookmark int2:bookmarkName="_Int_JzGS3HeH" int2:invalidationBookmarkName="" int2:hashCode="2jiGDLh1y2QJLk" int2:id="Rwnpni5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4be67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0f7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a14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2db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711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b45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10ca8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2f2272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0fb0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a35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fdb2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553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5CD42D"/>
    <w:rsid w:val="003890EE"/>
    <w:rsid w:val="004A82A5"/>
    <w:rsid w:val="005E1812"/>
    <w:rsid w:val="00CEE470"/>
    <w:rsid w:val="01364817"/>
    <w:rsid w:val="0146A744"/>
    <w:rsid w:val="0171AED0"/>
    <w:rsid w:val="01884228"/>
    <w:rsid w:val="019C2FC1"/>
    <w:rsid w:val="01E91910"/>
    <w:rsid w:val="02C363AC"/>
    <w:rsid w:val="02D7868C"/>
    <w:rsid w:val="02D89E4E"/>
    <w:rsid w:val="03243598"/>
    <w:rsid w:val="035BD0AB"/>
    <w:rsid w:val="03FCDAC3"/>
    <w:rsid w:val="04293281"/>
    <w:rsid w:val="04D50696"/>
    <w:rsid w:val="057351A2"/>
    <w:rsid w:val="05759FC0"/>
    <w:rsid w:val="06071A75"/>
    <w:rsid w:val="066445D2"/>
    <w:rsid w:val="07114B4B"/>
    <w:rsid w:val="071BDD11"/>
    <w:rsid w:val="07313611"/>
    <w:rsid w:val="078F73FA"/>
    <w:rsid w:val="07C34596"/>
    <w:rsid w:val="07F0F83A"/>
    <w:rsid w:val="080785CB"/>
    <w:rsid w:val="0815FA03"/>
    <w:rsid w:val="08AD8FC6"/>
    <w:rsid w:val="08AF6AE0"/>
    <w:rsid w:val="08B4DBB5"/>
    <w:rsid w:val="09C2349F"/>
    <w:rsid w:val="0A32885E"/>
    <w:rsid w:val="0A9A3E18"/>
    <w:rsid w:val="0BBB2C31"/>
    <w:rsid w:val="0C01B5B0"/>
    <w:rsid w:val="0CA46BC7"/>
    <w:rsid w:val="0D191E90"/>
    <w:rsid w:val="0D7E7888"/>
    <w:rsid w:val="0DBF1ADD"/>
    <w:rsid w:val="0DF0C243"/>
    <w:rsid w:val="0E0BD630"/>
    <w:rsid w:val="0E5DC38F"/>
    <w:rsid w:val="0E87C8E7"/>
    <w:rsid w:val="0ECC9906"/>
    <w:rsid w:val="0F2D559E"/>
    <w:rsid w:val="0F3072CD"/>
    <w:rsid w:val="0F532A8F"/>
    <w:rsid w:val="104B5B87"/>
    <w:rsid w:val="10905366"/>
    <w:rsid w:val="10A8E570"/>
    <w:rsid w:val="11B81AE5"/>
    <w:rsid w:val="11C9A725"/>
    <w:rsid w:val="1227B0CC"/>
    <w:rsid w:val="122C6766"/>
    <w:rsid w:val="12424D38"/>
    <w:rsid w:val="125BEDCE"/>
    <w:rsid w:val="129C4615"/>
    <w:rsid w:val="134D256B"/>
    <w:rsid w:val="137D0F56"/>
    <w:rsid w:val="13B0EC16"/>
    <w:rsid w:val="13B8AF08"/>
    <w:rsid w:val="14A868E6"/>
    <w:rsid w:val="14C1D803"/>
    <w:rsid w:val="14D862ED"/>
    <w:rsid w:val="153DFF38"/>
    <w:rsid w:val="158D8895"/>
    <w:rsid w:val="1596744C"/>
    <w:rsid w:val="15B04FDA"/>
    <w:rsid w:val="160ECA76"/>
    <w:rsid w:val="164DDE12"/>
    <w:rsid w:val="16EB4613"/>
    <w:rsid w:val="17C672C5"/>
    <w:rsid w:val="17D8EC5B"/>
    <w:rsid w:val="183495B1"/>
    <w:rsid w:val="18865F74"/>
    <w:rsid w:val="18956E32"/>
    <w:rsid w:val="1965FF51"/>
    <w:rsid w:val="1976F1AE"/>
    <w:rsid w:val="19D6965F"/>
    <w:rsid w:val="1A9DAC6B"/>
    <w:rsid w:val="1AC35C39"/>
    <w:rsid w:val="1AC5E1E2"/>
    <w:rsid w:val="1AECC746"/>
    <w:rsid w:val="1B49429A"/>
    <w:rsid w:val="1BAD6B05"/>
    <w:rsid w:val="1BE4AE05"/>
    <w:rsid w:val="1C8A546B"/>
    <w:rsid w:val="1CCFF748"/>
    <w:rsid w:val="1D37B25A"/>
    <w:rsid w:val="1D744DA6"/>
    <w:rsid w:val="1E805C99"/>
    <w:rsid w:val="1F840ADF"/>
    <w:rsid w:val="208995DC"/>
    <w:rsid w:val="20BDDE0B"/>
    <w:rsid w:val="20CED97C"/>
    <w:rsid w:val="20FAB6D3"/>
    <w:rsid w:val="21A16D8A"/>
    <w:rsid w:val="2265CB69"/>
    <w:rsid w:val="229A81AE"/>
    <w:rsid w:val="22F507F4"/>
    <w:rsid w:val="22FFA0EB"/>
    <w:rsid w:val="23489E87"/>
    <w:rsid w:val="235FE6EC"/>
    <w:rsid w:val="2388F662"/>
    <w:rsid w:val="23A778D3"/>
    <w:rsid w:val="243B17D0"/>
    <w:rsid w:val="2463FCAE"/>
    <w:rsid w:val="24AC0B76"/>
    <w:rsid w:val="24CFE223"/>
    <w:rsid w:val="25781692"/>
    <w:rsid w:val="2578D8F9"/>
    <w:rsid w:val="25E74A96"/>
    <w:rsid w:val="2652C16B"/>
    <w:rsid w:val="26549F5C"/>
    <w:rsid w:val="27A5E176"/>
    <w:rsid w:val="27F685D8"/>
    <w:rsid w:val="284A13EA"/>
    <w:rsid w:val="2853080D"/>
    <w:rsid w:val="28BB811E"/>
    <w:rsid w:val="2966F07D"/>
    <w:rsid w:val="29B7481A"/>
    <w:rsid w:val="2A4260EA"/>
    <w:rsid w:val="2A500766"/>
    <w:rsid w:val="2AAE2880"/>
    <w:rsid w:val="2AD40784"/>
    <w:rsid w:val="2BBA076B"/>
    <w:rsid w:val="2C42E78B"/>
    <w:rsid w:val="2C7FC9BA"/>
    <w:rsid w:val="2E317D68"/>
    <w:rsid w:val="2E3AD7C2"/>
    <w:rsid w:val="2E493065"/>
    <w:rsid w:val="2E937B5A"/>
    <w:rsid w:val="2EC22D52"/>
    <w:rsid w:val="2FA9CFC1"/>
    <w:rsid w:val="2FB798BD"/>
    <w:rsid w:val="2FE73ACE"/>
    <w:rsid w:val="2FEDF7BF"/>
    <w:rsid w:val="3101CAEC"/>
    <w:rsid w:val="31092524"/>
    <w:rsid w:val="312AADE3"/>
    <w:rsid w:val="3188CF9D"/>
    <w:rsid w:val="31A3E049"/>
    <w:rsid w:val="31F59620"/>
    <w:rsid w:val="321119C1"/>
    <w:rsid w:val="32356046"/>
    <w:rsid w:val="32451542"/>
    <w:rsid w:val="325A5C54"/>
    <w:rsid w:val="32B2D421"/>
    <w:rsid w:val="32BE9658"/>
    <w:rsid w:val="3336DBCF"/>
    <w:rsid w:val="336AAD23"/>
    <w:rsid w:val="3378A2BF"/>
    <w:rsid w:val="33D2B010"/>
    <w:rsid w:val="346FAD9E"/>
    <w:rsid w:val="34BEE179"/>
    <w:rsid w:val="34CE1F1E"/>
    <w:rsid w:val="34D00AC3"/>
    <w:rsid w:val="34FB2986"/>
    <w:rsid w:val="34FF4199"/>
    <w:rsid w:val="358164D4"/>
    <w:rsid w:val="359FA148"/>
    <w:rsid w:val="36109CB2"/>
    <w:rsid w:val="36293C22"/>
    <w:rsid w:val="3674AAC5"/>
    <w:rsid w:val="367F1646"/>
    <w:rsid w:val="368EC121"/>
    <w:rsid w:val="369D645D"/>
    <w:rsid w:val="370F5A8A"/>
    <w:rsid w:val="372FB877"/>
    <w:rsid w:val="375CE49F"/>
    <w:rsid w:val="376745E3"/>
    <w:rsid w:val="3794935C"/>
    <w:rsid w:val="37E46F04"/>
    <w:rsid w:val="3825069B"/>
    <w:rsid w:val="38A90CF3"/>
    <w:rsid w:val="39411276"/>
    <w:rsid w:val="39813531"/>
    <w:rsid w:val="399BD597"/>
    <w:rsid w:val="3A9E412E"/>
    <w:rsid w:val="3ADC1065"/>
    <w:rsid w:val="3AEB26E8"/>
    <w:rsid w:val="3B00B317"/>
    <w:rsid w:val="3B3CA06C"/>
    <w:rsid w:val="3B503D67"/>
    <w:rsid w:val="3B62587C"/>
    <w:rsid w:val="3B6617B2"/>
    <w:rsid w:val="3B89B508"/>
    <w:rsid w:val="3BD42DE3"/>
    <w:rsid w:val="3CD85453"/>
    <w:rsid w:val="3DE2B785"/>
    <w:rsid w:val="3E26BF8F"/>
    <w:rsid w:val="3E4C7414"/>
    <w:rsid w:val="3E9AD28B"/>
    <w:rsid w:val="3EB81DC6"/>
    <w:rsid w:val="3EB92987"/>
    <w:rsid w:val="3F50942E"/>
    <w:rsid w:val="3F51FD25"/>
    <w:rsid w:val="3FAFC062"/>
    <w:rsid w:val="3FB9E929"/>
    <w:rsid w:val="4052C8B4"/>
    <w:rsid w:val="405DEA18"/>
    <w:rsid w:val="4268C59C"/>
    <w:rsid w:val="4289982A"/>
    <w:rsid w:val="42A4FCA9"/>
    <w:rsid w:val="42C74D9C"/>
    <w:rsid w:val="42DA7508"/>
    <w:rsid w:val="43428B64"/>
    <w:rsid w:val="4423993F"/>
    <w:rsid w:val="4478405B"/>
    <w:rsid w:val="44BF81D5"/>
    <w:rsid w:val="4539F037"/>
    <w:rsid w:val="4570B428"/>
    <w:rsid w:val="45910859"/>
    <w:rsid w:val="45D97372"/>
    <w:rsid w:val="4639A54F"/>
    <w:rsid w:val="475ACD70"/>
    <w:rsid w:val="4760CC88"/>
    <w:rsid w:val="485BF533"/>
    <w:rsid w:val="48C60926"/>
    <w:rsid w:val="4942A855"/>
    <w:rsid w:val="4955B184"/>
    <w:rsid w:val="496C5411"/>
    <w:rsid w:val="49E55C35"/>
    <w:rsid w:val="4A423519"/>
    <w:rsid w:val="4AADB837"/>
    <w:rsid w:val="4AF58240"/>
    <w:rsid w:val="4B452906"/>
    <w:rsid w:val="4B6D59D9"/>
    <w:rsid w:val="4B7C7EDC"/>
    <w:rsid w:val="4B8BCCBF"/>
    <w:rsid w:val="4BD63106"/>
    <w:rsid w:val="4BDFDFE6"/>
    <w:rsid w:val="4C1DACBD"/>
    <w:rsid w:val="4CD77C8B"/>
    <w:rsid w:val="4D190049"/>
    <w:rsid w:val="4D4E20E8"/>
    <w:rsid w:val="4DA16416"/>
    <w:rsid w:val="4DBFA4B7"/>
    <w:rsid w:val="4E3B91C6"/>
    <w:rsid w:val="4E9C966C"/>
    <w:rsid w:val="4F4A1531"/>
    <w:rsid w:val="4F82ADB0"/>
    <w:rsid w:val="50090196"/>
    <w:rsid w:val="5048375F"/>
    <w:rsid w:val="510A5B18"/>
    <w:rsid w:val="513BDAA0"/>
    <w:rsid w:val="5154084D"/>
    <w:rsid w:val="51E7990A"/>
    <w:rsid w:val="52419B09"/>
    <w:rsid w:val="529079FC"/>
    <w:rsid w:val="5312B8A1"/>
    <w:rsid w:val="535CD42D"/>
    <w:rsid w:val="545D802D"/>
    <w:rsid w:val="5478DE9B"/>
    <w:rsid w:val="549254D5"/>
    <w:rsid w:val="54A84643"/>
    <w:rsid w:val="55D5CF28"/>
    <w:rsid w:val="560BB7F1"/>
    <w:rsid w:val="5626BD72"/>
    <w:rsid w:val="56737B50"/>
    <w:rsid w:val="56959362"/>
    <w:rsid w:val="56CCBFC9"/>
    <w:rsid w:val="574FB9AD"/>
    <w:rsid w:val="57D810FD"/>
    <w:rsid w:val="57E6AFA7"/>
    <w:rsid w:val="57F2E595"/>
    <w:rsid w:val="58280FA3"/>
    <w:rsid w:val="5900BBEA"/>
    <w:rsid w:val="599E893E"/>
    <w:rsid w:val="59D7A335"/>
    <w:rsid w:val="59D9B23B"/>
    <w:rsid w:val="5A2627AF"/>
    <w:rsid w:val="5A2780F5"/>
    <w:rsid w:val="5A884C27"/>
    <w:rsid w:val="5A8BE07C"/>
    <w:rsid w:val="5A976644"/>
    <w:rsid w:val="5AE0CE75"/>
    <w:rsid w:val="5BF662F9"/>
    <w:rsid w:val="5C446F9C"/>
    <w:rsid w:val="5C523D2C"/>
    <w:rsid w:val="5C876B97"/>
    <w:rsid w:val="5CAABC36"/>
    <w:rsid w:val="5CDE0316"/>
    <w:rsid w:val="5DAF52EE"/>
    <w:rsid w:val="5E07D09B"/>
    <w:rsid w:val="5E3CC841"/>
    <w:rsid w:val="5E7F4C0B"/>
    <w:rsid w:val="5EA9B075"/>
    <w:rsid w:val="5F646589"/>
    <w:rsid w:val="5F9DBF9B"/>
    <w:rsid w:val="5FBDF5C8"/>
    <w:rsid w:val="5FF88A15"/>
    <w:rsid w:val="6139D5B3"/>
    <w:rsid w:val="61C6BF1D"/>
    <w:rsid w:val="61CA18F0"/>
    <w:rsid w:val="61DBF10A"/>
    <w:rsid w:val="622F128B"/>
    <w:rsid w:val="6238F7B6"/>
    <w:rsid w:val="631F4A4A"/>
    <w:rsid w:val="634ADB79"/>
    <w:rsid w:val="63F1C384"/>
    <w:rsid w:val="640B5312"/>
    <w:rsid w:val="64107EC8"/>
    <w:rsid w:val="64389DF2"/>
    <w:rsid w:val="6487B6EF"/>
    <w:rsid w:val="648CD4E9"/>
    <w:rsid w:val="663CFDD4"/>
    <w:rsid w:val="66757AB3"/>
    <w:rsid w:val="66A2DFE0"/>
    <w:rsid w:val="66A57615"/>
    <w:rsid w:val="66D25046"/>
    <w:rsid w:val="67251393"/>
    <w:rsid w:val="67CA274D"/>
    <w:rsid w:val="67DEFD8B"/>
    <w:rsid w:val="688B6C0B"/>
    <w:rsid w:val="68E7CF4B"/>
    <w:rsid w:val="68FAB215"/>
    <w:rsid w:val="695AB8ED"/>
    <w:rsid w:val="6A801CB3"/>
    <w:rsid w:val="6B119C28"/>
    <w:rsid w:val="6B41579C"/>
    <w:rsid w:val="6B62BE49"/>
    <w:rsid w:val="6BC8FD65"/>
    <w:rsid w:val="6BEE4E8F"/>
    <w:rsid w:val="6D0E8C16"/>
    <w:rsid w:val="6D712ECF"/>
    <w:rsid w:val="6D8FEF0E"/>
    <w:rsid w:val="6E23E2E9"/>
    <w:rsid w:val="6E36CC1F"/>
    <w:rsid w:val="6E912365"/>
    <w:rsid w:val="6EE5BC20"/>
    <w:rsid w:val="6EF5D07C"/>
    <w:rsid w:val="6F068830"/>
    <w:rsid w:val="6F47C245"/>
    <w:rsid w:val="6F917A0C"/>
    <w:rsid w:val="6FD05796"/>
    <w:rsid w:val="7033E6A0"/>
    <w:rsid w:val="707A3175"/>
    <w:rsid w:val="7128748A"/>
    <w:rsid w:val="7151B31A"/>
    <w:rsid w:val="7168EA0C"/>
    <w:rsid w:val="718C654A"/>
    <w:rsid w:val="71C0BE02"/>
    <w:rsid w:val="71D1A8A6"/>
    <w:rsid w:val="71DAF7B7"/>
    <w:rsid w:val="7271068E"/>
    <w:rsid w:val="731243A0"/>
    <w:rsid w:val="731F6394"/>
    <w:rsid w:val="736E0D21"/>
    <w:rsid w:val="73EB7130"/>
    <w:rsid w:val="74404E9D"/>
    <w:rsid w:val="744FCA44"/>
    <w:rsid w:val="7540F18A"/>
    <w:rsid w:val="757161D4"/>
    <w:rsid w:val="75847164"/>
    <w:rsid w:val="758D2AB4"/>
    <w:rsid w:val="75DACE34"/>
    <w:rsid w:val="75DAE90D"/>
    <w:rsid w:val="76161EE8"/>
    <w:rsid w:val="761C37E5"/>
    <w:rsid w:val="7643F771"/>
    <w:rsid w:val="768936EE"/>
    <w:rsid w:val="76C4EE8B"/>
    <w:rsid w:val="778AE003"/>
    <w:rsid w:val="77C17E57"/>
    <w:rsid w:val="77E8E885"/>
    <w:rsid w:val="77F27CF2"/>
    <w:rsid w:val="7850A955"/>
    <w:rsid w:val="78772934"/>
    <w:rsid w:val="78AD5AA3"/>
    <w:rsid w:val="78C620B7"/>
    <w:rsid w:val="790E4571"/>
    <w:rsid w:val="791A7DDE"/>
    <w:rsid w:val="794B4A4B"/>
    <w:rsid w:val="7A11EEF8"/>
    <w:rsid w:val="7A93098F"/>
    <w:rsid w:val="7B399E7F"/>
    <w:rsid w:val="7B69E364"/>
    <w:rsid w:val="7B7822D7"/>
    <w:rsid w:val="7B970CBA"/>
    <w:rsid w:val="7BFAA1F1"/>
    <w:rsid w:val="7BFFAFC8"/>
    <w:rsid w:val="7C22A13E"/>
    <w:rsid w:val="7C2C15B3"/>
    <w:rsid w:val="7CCF56CD"/>
    <w:rsid w:val="7D60D9E0"/>
    <w:rsid w:val="7E3EC254"/>
    <w:rsid w:val="7E4652F3"/>
    <w:rsid w:val="7E8F65DC"/>
    <w:rsid w:val="7E9D0F94"/>
    <w:rsid w:val="7EE94384"/>
    <w:rsid w:val="7F29E0CA"/>
    <w:rsid w:val="7F519366"/>
    <w:rsid w:val="7F5663B5"/>
    <w:rsid w:val="7F62CC33"/>
    <w:rsid w:val="7FA58F73"/>
    <w:rsid w:val="7FD7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42D"/>
  <w15:chartTrackingRefBased/>
  <w15:docId w15:val="{791855E4-F15A-4CF9-A0D3-CBC9E304AA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f332655e4b04e6f" /><Relationship Type="http://schemas.openxmlformats.org/officeDocument/2006/relationships/image" Target="/media/image2.png" Id="R52dfdc18e8a649e1" /><Relationship Type="http://schemas.openxmlformats.org/officeDocument/2006/relationships/image" Target="/media/image3.png" Id="R6266939c94524714" /><Relationship Type="http://schemas.openxmlformats.org/officeDocument/2006/relationships/image" Target="/media/image4.png" Id="Rb9a5739a54ad4763" /><Relationship Type="http://schemas.openxmlformats.org/officeDocument/2006/relationships/image" Target="/media/image5.png" Id="R76ca8aa580f04117" /><Relationship Type="http://schemas.openxmlformats.org/officeDocument/2006/relationships/image" Target="/media/image6.png" Id="R8f7d14fa3a944b8c" /><Relationship Type="http://schemas.openxmlformats.org/officeDocument/2006/relationships/image" Target="/media/image7.png" Id="R3818cc0436a84a30" /><Relationship Type="http://schemas.openxmlformats.org/officeDocument/2006/relationships/image" Target="/media/image8.png" Id="R5d5bf4ea90f64442" /><Relationship Type="http://schemas.openxmlformats.org/officeDocument/2006/relationships/hyperlink" Target="https://www.psychreg.org/understanding-investor-psychology-emotions-market-volatility/" TargetMode="External" Id="R6d13427273674584" /><Relationship Type="http://schemas.openxmlformats.org/officeDocument/2006/relationships/hyperlink" Target="https://www.frontiersin.org/articles/10.3389/fenvs.2022.1068398/full" TargetMode="External" Id="R517741474b144afc" /><Relationship Type="http://schemas.openxmlformats.org/officeDocument/2006/relationships/hyperlink" Target="https://www.macrotrends.net/global-metrics/countries/WLD/world/inflation-rate-cpi" TargetMode="External" Id="R3444ccf366ff499b" /><Relationship Type="http://schemas.openxmlformats.org/officeDocument/2006/relationships/hyperlink" Target="https://www.bls.gov/cpi/home.htm" TargetMode="External" Id="Rd778d533df2b4986" /><Relationship Type="http://schemas.openxmlformats.org/officeDocument/2006/relationships/hyperlink" Target="https://www.nerdwallet.com/article/investing/average-stock-market-return" TargetMode="External" Id="R0bda078985024b80" /><Relationship Type="http://schemas.openxmlformats.org/officeDocument/2006/relationships/hyperlink" Target="https://www.allbrands.markets/brand/price-share-stock-market-costa-coffee-21188153900-us1912161007/" TargetMode="External" Id="R634321db70014d6d" /><Relationship Type="http://schemas.openxmlformats.org/officeDocument/2006/relationships/header" Target="header.xml" Id="R37969723a1104a7c" /><Relationship Type="http://schemas.openxmlformats.org/officeDocument/2006/relationships/footer" Target="footer.xml" Id="R85b23d7642d549f4" /><Relationship Type="http://schemas.microsoft.com/office/2020/10/relationships/intelligence" Target="intelligence2.xml" Id="R268d885ff22a4f18" /><Relationship Type="http://schemas.openxmlformats.org/officeDocument/2006/relationships/numbering" Target="numbering.xml" Id="R1aabaa52129149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2024-05-25T20:08:06.5079557Z</dcterms:created>
  <dcterms:modified xsi:type="dcterms:W3CDTF">2024-05-27T11:03:29.3925730Z</dcterms:modified>
  <dc:creator>Laila Khaled Mohamed Abdo Talhan</dc:creator>
  <lastModifiedBy>Laila Khaled Mohamed Abdo Talhan</lastModifiedBy>
</coreProperties>
</file>