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 4</w:t>
        <w:br/>
      </w:r>
    </w:p>
    <w:p>
      <w:pPr>
        <w:jc w:val="center"/>
      </w:pPr>
      <w:r>
        <w:rPr>
          <w:sz w:val="24"/>
        </w:rPr>
        <w:t>Тема: Обзор нормативных правовых актов, нормативных методических документов по защите информации, в состав которых входят требования и рекомендации по защите информации программными и программно-аппаратными средствами. Работа с содержанием нормативных правовых актов.</w:t>
        <w:br/>
        <w:t>Цель: научиться работать с документами по защите информации.</w:t>
      </w:r>
    </w:p>
    <w:p/>
    <w:p>
      <w:pPr>
        <w:pStyle w:val="Heading1"/>
        <w:spacing w:before="240" w:after="240"/>
        <w:jc w:val="left"/>
      </w:pPr>
      <w:r>
        <w:rPr>
          <w:rFonts w:ascii="Times New Roman" w:hAnsi="Times New Roman"/>
          <w:b/>
          <w:sz w:val="28"/>
        </w:rPr>
        <w:t>ТЕОРЕТИЧЕСКИЕ ВОПРОСЫ</w:t>
      </w:r>
    </w:p>
    <w:p>
      <w:r>
        <w:rPr>
          <w:b/>
        </w:rPr>
        <w:t>1. Предмет и задачи программно-аппаратной защиты информации</w:t>
        <w:br/>
      </w:r>
      <w:r>
        <w:t>Предметом программно-аппаратной защиты информации является защищаемая информационная среда во всем многообразии её компонентов. Сюда относятся: обрабатываемые данные (включая государственную тайну, конфиденциальную информацию и персональные данные), системное и прикладное программное обеспечение, операционные системы, сетевые протоколы и сервисы, а также сами технические средства (серверное оборудование, рабочие станции пользователей, кабельные и беспроводные каналы связи, периферийные устройства).</w:t>
        <w:br/>
        <w:br/>
        <w:t>Основными задачами программно-аппаратной защиты являются:</w:t>
        <w:br/>
      </w:r>
    </w:p>
    <w:p>
      <w:pPr>
        <w:pStyle w:val="ListBullet"/>
      </w:pPr>
      <w:r>
        <w:rPr>
          <w:b/>
        </w:rPr>
        <w:t xml:space="preserve">• Идентификация и аутентификация — </w:t>
      </w:r>
      <w:r>
        <w:t>однозначное распознавание субъектов (пользователей, процессов) и объектов доступа, а также проверка подлинности их заявленных идентификаторов перед предоставлением доступа к ресурсам системы.</w:t>
      </w:r>
    </w:p>
    <w:p>
      <w:pPr>
        <w:pStyle w:val="ListBullet"/>
      </w:pPr>
      <w:r>
        <w:rPr>
          <w:b/>
        </w:rPr>
        <w:t xml:space="preserve">• Управление и разграничение доступа — </w:t>
      </w:r>
      <w:r>
        <w:t>реализация строгих правил и политик разграничения прав доступа (матричный, ролевой, мандатный методы) субъектов к защищаемым файлам, базам данных, каталогам и периферийным устройствам.</w:t>
      </w:r>
    </w:p>
    <w:p>
      <w:pPr>
        <w:pStyle w:val="ListBullet"/>
      </w:pPr>
      <w:r>
        <w:rPr>
          <w:b/>
        </w:rPr>
        <w:t xml:space="preserve">• Регистрация и аудит событий безопасности — </w:t>
      </w:r>
      <w:r>
        <w:t>непрерывный автоматизированный сбор, учет и анализ логов (журналов регистрации) обо всех критических событиях в системе (входы, отказы в доступе, изменение конфигураций) для своевременного обнаружения инцидентов.</w:t>
      </w:r>
    </w:p>
    <w:p>
      <w:pPr>
        <w:pStyle w:val="ListBullet"/>
      </w:pPr>
      <w:r>
        <w:rPr>
          <w:b/>
        </w:rPr>
        <w:t xml:space="preserve">• Контроль целостности — </w:t>
      </w:r>
      <w:r>
        <w:t>обеспечение неизменности программно-аппаратной среды, системных файлов, исполняемых кодов и конфигурационных параметров СЗИ с помощью подсчета контрольных сумм и блокировки несанкционированных изменений.</w:t>
      </w:r>
    </w:p>
    <w:p>
      <w:pPr>
        <w:pStyle w:val="ListBullet"/>
      </w:pPr>
      <w:r>
        <w:rPr>
          <w:b/>
        </w:rPr>
        <w:t xml:space="preserve">• Криптографическая защита данных — </w:t>
      </w:r>
      <w:r>
        <w:t>шифрование конфиденциальной информации при её хранении на отчуждаемых и локальных носителях, а также при транспортировке по незащищенным (открытым) каналам связи.</w:t>
      </w:r>
    </w:p>
    <w:p>
      <w:pPr>
        <w:pStyle w:val="ListBullet"/>
      </w:pPr>
      <w:r>
        <w:rPr>
          <w:b/>
        </w:rPr>
        <w:t xml:space="preserve">• Межсетевое экранирование — </w:t>
      </w:r>
      <w:r>
        <w:t>фильтрация сетевого трафика на различных уровнях модели OSI в целях изоляции внутренней сети от внешних угроз и блокирования несанкционированных сетевых пакетов.</w:t>
      </w:r>
    </w:p>
    <w:p>
      <w:pPr>
        <w:pStyle w:val="ListBullet"/>
      </w:pPr>
      <w:r>
        <w:rPr>
          <w:b/>
        </w:rPr>
        <w:t xml:space="preserve">• Обнаружение и предотвращение вторжений (IDS/IPS) — </w:t>
      </w:r>
      <w:r>
        <w:t>анализ сетевой активности и системных вызовов в реальном времени для выявления признаков известных компьютерных атак или аномального поведения.</w:t>
      </w:r>
    </w:p>
    <w:p>
      <w:pPr>
        <w:pStyle w:val="ListBullet"/>
      </w:pPr>
      <w:r>
        <w:rPr>
          <w:b/>
        </w:rPr>
        <w:t xml:space="preserve">• Антивирусная защита — </w:t>
      </w:r>
      <w:r>
        <w:t>своевременное обнаружение, локализация и удаление вредоносного программного кода (вирусов, троянов, шифровальщиков), способного нарушить конфиденциальность, целостность или доступность ресурсов.</w:t>
      </w:r>
    </w:p>
    <w:p>
      <w:pPr>
        <w:spacing w:before="240"/>
      </w:pPr>
      <w:r>
        <w:rPr>
          <w:b/>
        </w:rPr>
        <w:t>2. Основные понятия программно-аппаратной защиты информации</w:t>
        <w:br/>
      </w:r>
    </w:p>
    <w:p>
      <w:r>
        <w:rPr>
          <w:b/>
        </w:rPr>
        <w:t xml:space="preserve">• Безопасность информации — </w:t>
      </w:r>
      <w:r>
        <w:t>состояние защищенности информации, при котором обеспечивается сохранение её конфиденциальности, целостности и доступности, независимо от формы её представления.</w:t>
      </w:r>
    </w:p>
    <w:p>
      <w:r>
        <w:rPr>
          <w:b/>
        </w:rPr>
        <w:t xml:space="preserve">• Конфиденциальность — </w:t>
      </w:r>
      <w:r>
        <w:t>свойство информации, указывающее на необходимость ограничения доступа к ней определенному кругу лиц. Информация должна быть недоступна для неавторизованных пользователей или процессов.</w:t>
      </w:r>
    </w:p>
    <w:p>
      <w:r>
        <w:rPr>
          <w:b/>
        </w:rPr>
        <w:t xml:space="preserve">• Целостность — </w:t>
      </w:r>
      <w:r>
        <w:t>актуальность, полнота и непротиворечивость информации, её способность сохранять изначальный вид и структуру в процессе хранения, передачи и обработки, защищенность от несанкционированного искажения, удаления или модификации.</w:t>
      </w:r>
    </w:p>
    <w:p>
      <w:r>
        <w:rPr>
          <w:b/>
        </w:rPr>
        <w:t xml:space="preserve">• Доступность — </w:t>
      </w:r>
      <w:r>
        <w:t>свойство информации, характеризующее её способность оперативно предоставляться авторизованным субъектам доступа по первому требованию.</w:t>
      </w:r>
    </w:p>
    <w:p>
      <w:r>
        <w:rPr>
          <w:b/>
        </w:rPr>
        <w:t xml:space="preserve">• Угроза безопасности информации — </w:t>
      </w:r>
      <w:r>
        <w:t>совокупность факторов, условий или действий, создающих потенциальную или реальную опасность нарушения конфиденциальности, целостности или доступности информации.</w:t>
      </w:r>
    </w:p>
    <w:p>
      <w:r>
        <w:rPr>
          <w:b/>
        </w:rPr>
        <w:t xml:space="preserve">• Уязвимость — </w:t>
      </w:r>
      <w:r>
        <w:t>внутренний недостаток, слабость или программная ошибка в проектировании, реализации или эксплуатации информационной системы, которая может быть использована нарушителем для реализации угрозы.</w:t>
      </w:r>
    </w:p>
    <w:p>
      <w:r>
        <w:rPr>
          <w:b/>
        </w:rPr>
        <w:t xml:space="preserve">• Программное средство защиты информации (ПСЗИ) — </w:t>
      </w:r>
      <w:r>
        <w:t>отдельная программа или комплекс программных средств, предназначенный для реализации функций защиты (например, антивирус, программный файрвол).</w:t>
      </w:r>
    </w:p>
    <w:p>
      <w:r>
        <w:rPr>
          <w:b/>
        </w:rPr>
        <w:t xml:space="preserve">• Программно-аппаратное средство защиты информации (ПА СЗИ) — </w:t>
      </w:r>
      <w:r>
        <w:t>интегрированный комплекс, совмещающий в себе физическую электронную плату/устройство и управляющее микропрограммное обеспечение (например, аппаратный модуль доверенной загрузки, криптографический токен).</w:t>
      </w:r>
    </w:p>
    <w:p>
      <w:pPr>
        <w:spacing w:before="240"/>
      </w:pPr>
      <w:r>
        <w:rPr>
          <w:b/>
        </w:rPr>
        <w:t>3. Классификация методов и средств программно-аппаратной защиты информации</w:t>
        <w:br/>
      </w:r>
      <w:r>
        <w:t>Классификацию СЗИ принято проводить по двум основополагающим критериям:</w:t>
        <w:br/>
        <w:br/>
      </w:r>
      <w:r>
        <w:rPr>
          <w:b/>
        </w:rPr>
        <w:t>А) По способу технической реализации:</w:t>
        <w:br/>
      </w:r>
      <w:r>
        <w:rPr>
          <w:b/>
        </w:rPr>
        <w:br/>
        <w:t>Б) По функциональному назначению и профилю защиты:</w:t>
        <w:br/>
      </w:r>
    </w:p>
    <w:p>
      <w:r>
        <w:rPr>
          <w:i/>
        </w:rPr>
        <w:t xml:space="preserve">  - Программные средства: </w:t>
      </w:r>
      <w:r>
        <w:t>Механизмы разграничения доступа внутри операционных систем, логические драйверы, встроенные утилиты шифрования, классическое антивирусное ПО, прикладные программы логирования.</w:t>
      </w:r>
    </w:p>
    <w:p>
      <w:r>
        <w:rPr>
          <w:i/>
        </w:rPr>
        <w:t xml:space="preserve">  - Аппаратные средства: </w:t>
      </w:r>
      <w:r>
        <w:t>Физические устройства, функционирующие независимо от ОС: генераторы электромагнитного шума (для защиты от ПЭМИН), механические или электронные замки на корпусах серверов, биометрические сканеры аутентификации.</w:t>
      </w:r>
    </w:p>
    <w:p>
      <w:r>
        <w:rPr>
          <w:i/>
        </w:rPr>
        <w:t xml:space="preserve">  - Программно-аппаратные средства: </w:t>
      </w:r>
      <w:r>
        <w:t>Гибридные решения, обеспечивающие наивысшую стойкость: платы доверенной загрузки (АПМДЗ), криптографические микропроцессорные смарт-карты/USB-токены, специализированные аппаратные межсетевые экраны нового поколения (NGFW).</w:t>
      </w:r>
    </w:p>
    <w:p>
      <w:r>
        <w:rPr>
          <w:i/>
        </w:rPr>
        <w:t xml:space="preserve">  - Средства управления доступом: </w:t>
      </w:r>
      <w:r>
        <w:t>Идентификация, аутентификация, блокировка сессий, разграничение полномочий.</w:t>
      </w:r>
    </w:p>
    <w:p>
      <w:r>
        <w:rPr>
          <w:i/>
        </w:rPr>
        <w:t xml:space="preserve">  - Средства обеспечения целостности: </w:t>
      </w:r>
      <w:r>
        <w:t>Контроль контрольных сумм файлов, неизменности реестра, фиксация загрузочного сектора.</w:t>
      </w:r>
    </w:p>
    <w:p>
      <w:r>
        <w:rPr>
          <w:i/>
        </w:rPr>
        <w:t xml:space="preserve">  - Средства регистрации и аудита: </w:t>
      </w:r>
      <w:r>
        <w:t>Системы сбора системных журналов, SIEM-системы.</w:t>
      </w:r>
    </w:p>
    <w:p>
      <w:r>
        <w:rPr>
          <w:i/>
        </w:rPr>
        <w:t xml:space="preserve">  - Криптографические средства (СКЗИ): </w:t>
      </w:r>
      <w:r>
        <w:t>Шифрование файлов, логических дисков, организация защищенных каналов (VPN).</w:t>
      </w:r>
    </w:p>
    <w:p>
      <w:r>
        <w:rPr>
          <w:i/>
        </w:rPr>
        <w:t xml:space="preserve">  - Средства защиты сетевого периметра: </w:t>
      </w:r>
      <w:r>
        <w:t>Межсетевые экраны, прокси-серверы, средства обнаружения компьютерных атак (СОВ).</w:t>
      </w:r>
    </w:p>
    <w:p>
      <w:pPr>
        <w:spacing w:before="240"/>
      </w:pPr>
      <w:r>
        <w:rPr>
          <w:b/>
        </w:rPr>
        <w:t>4. Нормативные правовые акты, нормативные методические документы</w:t>
        <w:br/>
      </w:r>
      <w:r>
        <w:t>Нормативно-правовое регулирование в сфере применения программно-аппаратных СЗИ в Российской Федерации носит строго иерархический характер и разделяется на следующие основные уровни:</w:t>
        <w:br/>
      </w:r>
    </w:p>
    <w:p>
      <w:r>
        <w:rPr>
          <w:b/>
        </w:rPr>
        <w:t xml:space="preserve">• Высший законодательный уровень (Кодексы и ФЗ): </w:t>
      </w:r>
      <w:r>
        <w:t>Конституция РФ, Гражданский кодекс РФ, Уголовный кодекс РФ (статьи о компьютерных преступлениях), ФЗ № 149-ФЗ «Об информации...», ФЗ № 152-ФЗ «О персональных данных», ФЗ № 63-ФЗ «Об электронной подписи», ФЗ № 98-ФЗ «О коммерческой тайне», Закон РФ № 5485-1 «О государственной тайне».</w:t>
      </w:r>
    </w:p>
    <w:p>
      <w:r>
        <w:rPr>
          <w:b/>
        </w:rPr>
        <w:t xml:space="preserve">• Подзаконный уровень (Указы и Постановления): </w:t>
      </w:r>
      <w:r>
        <w:t>Доктрина информационной безопасности РФ, Указы Президента РФ № 1203 и № 188 (перечни сведений конфиденциального характера и гостайны), Постановления Правительства РФ № 1119 (требования к ИСПДн) и № 79 (лицензирование ТЗКИ).</w:t>
      </w:r>
    </w:p>
    <w:p>
      <w:r>
        <w:rPr>
          <w:b/>
        </w:rPr>
        <w:t xml:space="preserve">• Ведомственный методический уровень (Регуляторы): </w:t>
      </w:r>
      <w:r>
        <w:t>Нормативные акты ФСТЭК России (Приказы № 17, № 21, Руководящие документы по классам защищенности от НСД и отсутствию НДВ, СТР-К) и ФСБ России (Положение ПКЗ-2005 по криптосредствам, Типовые требования № 149/6/6-622 по организации шифрования).</w:t>
      </w:r>
    </w:p>
    <w:p/>
    <w:p>
      <w:pPr>
        <w:pStyle w:val="Heading1"/>
        <w:spacing w:before="240" w:after="240"/>
      </w:pPr>
      <w:r>
        <w:rPr>
          <w:rFonts w:ascii="Times New Roman" w:hAnsi="Times New Roman"/>
          <w:b/>
          <w:sz w:val="28"/>
        </w:rPr>
        <w:t>ВЫПОЛНЕНИЕ ПРАКТИЧЕСКИХ ЗАДАНИЙ</w:t>
      </w:r>
    </w:p>
    <w:p>
      <w:r>
        <w:rPr>
          <w:b/>
        </w:rPr>
        <w:t xml:space="preserve">Задание 1. </w:t>
      </w:r>
      <w:r>
        <w:t>Определить нормативные методические документы, в состав которых входят требования и рекомендации по защите информации программными и программно-аппаратными средствами.</w:t>
        <w:br/>
        <w:br/>
      </w:r>
      <w:r>
        <w:t>Из предложенного в практической работе перечня документов к нормативно-методическим документам, устанавливающим непосредственные требования к программным и техническим СЗИ, относятся следующие ведомственные акты регуляторов (ФСТЭК и ФСБ):</w:t>
        <w:br/>
      </w:r>
    </w:p>
    <w:p>
      <w:pPr>
        <w:pStyle w:val="ListBullet"/>
      </w:pPr>
      <w:r>
        <w:t>Приказ ФСТЭК России от 11 февраля 2013 г. № 17 — регламентирует обязательное использование сертифицированных программных и аппаратных СЗИ в государственных информационных системах (ГИС), требования к управлению доступом и регистрации событий.</w:t>
      </w:r>
    </w:p>
    <w:p>
      <w:pPr>
        <w:pStyle w:val="ListBullet"/>
      </w:pPr>
      <w:r>
        <w:t>Приказ ФСТЭК России от 18.02.2013 № 21 — определяет обязательный состав программно-аппаратных мер по защите персональных данных (ИСПДн) в зависимости от уровней защищенности (УЗ).</w:t>
      </w:r>
    </w:p>
    <w:p>
      <w:pPr>
        <w:pStyle w:val="ListBullet"/>
      </w:pPr>
      <w:r>
        <w:t>Руководящие документы ФСТЭК по защите от НСД — задают классификацию автоматизированных систем и требования по применению СЗИ от несанкционированного доступа.</w:t>
      </w:r>
    </w:p>
    <w:p>
      <w:pPr>
        <w:pStyle w:val="ListBullet"/>
      </w:pPr>
      <w:r>
        <w:t>Руководящие документы ФСТЭК по защите от НДВ — определяют уровни контроля отсутствия недекларированных возможностей (программных закладок) в используемом ПО.</w:t>
      </w:r>
    </w:p>
    <w:p>
      <w:pPr>
        <w:pStyle w:val="ListBullet"/>
      </w:pPr>
      <w:r>
        <w:t>Специальные требования и рекомендации по технической защите конфиденциальной информации (СТР-К) — комплексный методический документ по организации технической защиты.</w:t>
      </w:r>
    </w:p>
    <w:p>
      <w:pPr>
        <w:pStyle w:val="ListBullet"/>
      </w:pPr>
      <w:r>
        <w:t>Приказ ФСБ РФ от 9 февраля 2005 г. № 66 (Положение ПКЗ-2005) — нормативный документ, устанавливающий требования к разработке, производству, реализации и эксплуатации программных и аппаратных криптографических средств защиты.</w:t>
      </w:r>
    </w:p>
    <w:p>
      <w:pPr>
        <w:pStyle w:val="ListBullet"/>
      </w:pPr>
      <w:r>
        <w:t>Типовые требования ФСБ России от 21.02.2008 № 149/6/6-622 — методический документ, регулирующий правила организации рабочих мест, оснащенных программно-аппаратными средствами шифрования.</w:t>
      </w:r>
    </w:p>
    <w:p>
      <w:pPr>
        <w:spacing w:before="240"/>
      </w:pPr>
      <w:r>
        <w:rPr>
          <w:b/>
        </w:rPr>
        <w:t xml:space="preserve">Задание 2. </w:t>
      </w:r>
      <w:r>
        <w:t>Изучить ФЗ «Об информации, информационных технологиях и о защите информации». Выписать требования и рекомендации по защите информации программными и программно-аппаратными средствами.</w:t>
        <w:br/>
        <w:br/>
      </w:r>
      <w:r>
        <w:t>Федеральный закон № 149-ФЗ в статье 16 закрепляет правовые основы и обязанности по технической защите информации. К программно-аппаратному блоку относятся требования по:</w:t>
        <w:br/>
      </w:r>
    </w:p>
    <w:p>
      <w:r>
        <w:rPr>
          <w:b/>
        </w:rPr>
        <w:t xml:space="preserve">• Применение сертифицированных СЗИ: </w:t>
      </w:r>
      <w:r>
        <w:t>Обязательное использование программных и программно-аппаратных средств защиты информации, прошедших процедуру оценки соответствия (сертификацию) в установленном законодательством порядке.</w:t>
      </w:r>
    </w:p>
    <w:p>
      <w:r>
        <w:rPr>
          <w:b/>
        </w:rPr>
        <w:t xml:space="preserve">• Предотвращение несанкционированного доступа (НСД): </w:t>
      </w:r>
      <w:r>
        <w:t>Реализация программно-технических мер, исключающих возможность проникновения посторонних лиц к защищаемым ресурсам или передачу информации лицам, не имеющим прав доступа.</w:t>
      </w:r>
    </w:p>
    <w:p>
      <w:r>
        <w:rPr>
          <w:b/>
        </w:rPr>
        <w:t xml:space="preserve">• Своевременное обнаружение фактов НСД: </w:t>
      </w:r>
      <w:r>
        <w:t>Внедрение программных комплексов мониторинга, аудита и систем обнаружения вторжений для оперативной фиксации нарушений безопасности.</w:t>
      </w:r>
    </w:p>
    <w:p>
      <w:r>
        <w:rPr>
          <w:b/>
        </w:rPr>
        <w:t xml:space="preserve">• Предотвращение воздействий на технические средства: </w:t>
      </w:r>
      <w:r>
        <w:t>Использование систем антивирусной защиты, межсетевого экранирования и аппаратных модулей для предотвращения вредоносных воздействий, нарушающих функционирование ИС.</w:t>
      </w:r>
    </w:p>
    <w:p>
      <w:r>
        <w:rPr>
          <w:b/>
        </w:rPr>
        <w:t xml:space="preserve">• Незамедлительное восстановление информации: </w:t>
      </w:r>
      <w:r>
        <w:t>Организация систем программно-аппаратного резервного копирования и дублирования данных для быстрого восстановления информации, уничтоженной или модифицированной в результате инцидента.</w:t>
      </w:r>
    </w:p>
    <w:p>
      <w:r>
        <w:rPr>
          <w:b/>
        </w:rPr>
        <w:t xml:space="preserve">• Постоянный контроль уровня защищенности: </w:t>
      </w:r>
      <w:r>
        <w:t>Автоматизированный программный контроль текущего состояния защищенности ИС.</w:t>
      </w:r>
    </w:p>
    <w:p>
      <w:pPr>
        <w:spacing w:before="240"/>
      </w:pPr>
      <w:r>
        <w:rPr>
          <w:b/>
        </w:rPr>
        <w:t xml:space="preserve">Задание 3. </w:t>
      </w:r>
      <w:r>
        <w:t>Изучить приказ ФСТЭК России от 18 февраля 2013 г. № 21. Выписать требования и рекомендации по защите информации программными и программно-аппаратными средствами.</w:t>
        <w:br/>
        <w:br/>
      </w:r>
      <w:r>
        <w:t>Приказ № 21 устанавливает состав организационных и технических мер, реализуемых с применением программно-аппаратных средств:</w:t>
        <w:br/>
      </w:r>
    </w:p>
    <w:p>
      <w:r>
        <w:rPr>
          <w:b/>
        </w:rPr>
        <w:t xml:space="preserve">• Идентификация и аутентификация (ИАФ): </w:t>
      </w:r>
      <w:r>
        <w:t>Программная реализация аутентификации пользователей, внешних устройств и системных процессов. Ограничение числа неуспешных попыток входа.</w:t>
      </w:r>
    </w:p>
    <w:p>
      <w:r>
        <w:rPr>
          <w:b/>
        </w:rPr>
        <w:t xml:space="preserve">• Управление доступом (УПД): </w:t>
      </w:r>
      <w:r>
        <w:t>Разграничение прав пользователей на чтение, запись, исполнение, управление учетными записями. Программное разделение полномочий.</w:t>
      </w:r>
    </w:p>
    <w:p>
      <w:r>
        <w:rPr>
          <w:b/>
        </w:rPr>
        <w:t xml:space="preserve">• Регистрация событий безопасности (РСБ): </w:t>
      </w:r>
      <w:r>
        <w:t>Сбор информации о событиях безопасности в электронные журналы, защита лог-файлов от модификации и удаления.</w:t>
      </w:r>
    </w:p>
    <w:p>
      <w:r>
        <w:rPr>
          <w:b/>
        </w:rPr>
        <w:t xml:space="preserve">• Антивирусная защита (АВЗ): </w:t>
      </w:r>
      <w:r>
        <w:t>Применение сертифицированного антивирусного ПО на серверах и рабочих станциях, регулярное автоматическое обновление сигнатур.</w:t>
      </w:r>
    </w:p>
    <w:p>
      <w:r>
        <w:rPr>
          <w:b/>
        </w:rPr>
        <w:t xml:space="preserve">• Межсетевое экранирование (МЭ): </w:t>
      </w:r>
      <w:r>
        <w:t>Применение программных или аппаратных межсетевых экранов на границах сегментов сети для фильтрации трафика.</w:t>
      </w:r>
    </w:p>
    <w:p>
      <w:r>
        <w:rPr>
          <w:b/>
        </w:rPr>
        <w:t xml:space="preserve">• Обнаружение вторжений (ОВ): </w:t>
      </w:r>
      <w:r>
        <w:t>Использование систем обнаружения вторжений (СОВ) сетевого и узлового уровней.</w:t>
      </w:r>
    </w:p>
    <w:p>
      <w:r>
        <w:rPr>
          <w:b/>
        </w:rPr>
        <w:t xml:space="preserve">• Контроль целостности (КЦ): </w:t>
      </w:r>
      <w:r>
        <w:t>Программный контроль целостности программного обеспечения, критических данных и параметров СЗИ.</w:t>
      </w:r>
    </w:p>
    <w:p>
      <w:r>
        <w:rPr>
          <w:b/>
        </w:rPr>
        <w:t xml:space="preserve">• Защита среды виртуализации (ЗВ): </w:t>
      </w:r>
      <w:r>
        <w:t>Применение специализированных программных средств защиты для виртуальных машин, гипервизоров и виртуальных сетей (при их наличии).</w:t>
      </w:r>
    </w:p>
    <w:p>
      <w:pPr>
        <w:spacing w:before="240"/>
      </w:pPr>
      <w:r>
        <w:rPr>
          <w:b/>
        </w:rPr>
        <w:t xml:space="preserve">Задание 4. </w:t>
      </w:r>
      <w:r>
        <w:t>Изучить типовые требования по организации и обеспечению функционирования шифровальных (криптографических) средств... утвержденные руководством Центра ФСБ России 21.02.2008 №149/6/6-622. Выписать требования и рекомендации по защите информации программными и программно-аппаратными средствами.</w:t>
        <w:br/>
        <w:br/>
      </w:r>
      <w:r>
        <w:t>Данные Типовые требования ФСБ определяют правила эксплуатации СКЗИ. Основные программно-аппаратные меры включают в себя:</w:t>
        <w:br/>
      </w:r>
    </w:p>
    <w:p>
      <w:r>
        <w:rPr>
          <w:b/>
        </w:rPr>
        <w:t xml:space="preserve">• Сертификация ФСБ России: </w:t>
      </w:r>
      <w:r>
        <w:t>Разрешается использовать только те программные, аппаратные и программно-аппаратные средства криптозащиты, которые прошли сертификацию в ФСБ России по соответствующему классу (КС1, КС2, КС3, КВ, КА).</w:t>
      </w:r>
    </w:p>
    <w:p>
      <w:r>
        <w:rPr>
          <w:b/>
        </w:rPr>
        <w:t xml:space="preserve">• Обеспечение доверенной загрузки: </w:t>
      </w:r>
      <w:r>
        <w:t>Требование оснащать ПЭВМ, на которых развернуты СКЗИ старших классов, аппаратно-программными модулями доверенной загрузки (АПМДЗ / «электронными замками») для блокирования загрузки нештатной ОС со сторонних носителей.</w:t>
      </w:r>
    </w:p>
    <w:p>
      <w:r>
        <w:rPr>
          <w:b/>
        </w:rPr>
        <w:t xml:space="preserve">• Программный контроль целостности СКЗИ: </w:t>
      </w:r>
      <w:r>
        <w:t>Постоянный автоматический контроль неизменности исполняемых файлов криптографического ПО перед каждым запуском системы.</w:t>
      </w:r>
    </w:p>
    <w:p>
      <w:r>
        <w:rPr>
          <w:b/>
        </w:rPr>
        <w:t xml:space="preserve">• Антивирусная подготовка и контроль: </w:t>
      </w:r>
      <w:r>
        <w:t>Обязательная предварительная очистка ЭВМ от вредоносного ПО перед установкой СКЗИ. Постоянный мониторинг оперативной памяти штатными средствами антивирусной защиты во время работы СКЗИ.</w:t>
      </w:r>
    </w:p>
    <w:p>
      <w:r>
        <w:rPr>
          <w:b/>
        </w:rPr>
        <w:t xml:space="preserve">• Аппаратная изоляция ключевой информации: </w:t>
      </w:r>
      <w:r>
        <w:t>Хранение закрытых криптографических ключей исключительно на защищенных от копирования аппаратных носителях (USB-токены, смарт-карты с неизвлекаемой памятью).</w:t>
      </w:r>
    </w:p>
    <w:p>
      <w:r>
        <w:rPr>
          <w:b/>
        </w:rPr>
        <w:t xml:space="preserve">• Физическое и программное ограничение портов: </w:t>
      </w:r>
      <w:r>
        <w:t>Блокировка или отключение неиспользуемых аппаратных интерфейсов (COM, LPT, лишние USB-порты) на уровне BIOS/ОС для предотвращения несанкционированного съема информации и подключения нештатных устройств.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