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РЕЧЬ ДЛЯ ВЫСТУПЛЕНИЯ</w:t>
        <w:br/>
      </w:r>
      <w:r>
        <w:rPr>
          <w:i/>
        </w:rPr>
        <w:t>Тема: Программно-аппаратная защита информации (Практическая работа №4)</w:t>
      </w:r>
    </w:p>
    <w:p/>
    <w:p>
      <w:pPr>
        <w:spacing w:before="240"/>
      </w:pPr>
      <w:r>
        <w:rPr>
          <w:b/>
        </w:rPr>
        <w:t>Вступление</w:t>
      </w:r>
    </w:p>
    <w:p>
      <w:r>
        <w:t>Здравствуйте! Тема моего доклада посвящена программно-аппаратной защите информации, а также нормативно-правовой базе, которая её регулирует. В ходе работы я разобрал как теоретические основы, так и конкретные требования российских регуляторов.</w:t>
      </w:r>
    </w:p>
    <w:p>
      <w:pPr>
        <w:spacing w:before="240"/>
      </w:pPr>
      <w:r>
        <w:rPr>
          <w:b/>
        </w:rPr>
        <w:t>Часть 1. Теоретические основы</w:t>
      </w:r>
    </w:p>
    <w:p>
      <w:r>
        <w:t>Для начала определимся с тем, что мы защищаем. Предметом защиты является вся информационная среда: сами данные, программы, операционные системы и техническое железо — сервера, компьютеры и сети.</w:t>
        <w:br/>
        <w:br/>
        <w:t>Чтобы обеспечить их безопасность, программно-аппаратные средства решают следующие задачи:</w:t>
        <w:br/>
        <w:t>• Проверяют подлинность пользователей при входе (это аутентификация);</w:t>
        <w:br/>
        <w:t>• Разграничивают права доступа к файлам;</w:t>
        <w:br/>
        <w:t>• Ведут электронные журналы учета (аудит);</w:t>
        <w:br/>
        <w:t>• Контролируют целостность системы, защищают сети с помощью межсетевых экранов и блокируют вирусы.</w:t>
        <w:br/>
        <w:br/>
        <w:t>Вся защита строится вокруг трех главных китов безопасности: конфиденциальности (чтобы чужие не увидели), целостности (чтобы никто тайно не изменил данные) и доступности (чтобы владелец всегда мог открыть свои файлы). Опасности мы называем угрозами, а слабые места в системе — уязвимостями.</w:t>
        <w:br/>
        <w:br/>
        <w:t>Сами средства защиты по реализации делятся на три вида: программные (например, антивирус), аппаратные (физические замки, генераторы шума) и самые надежные — программно-аппаратные (это гибриды, где программа намертво вшита в железку, как плата доверенной загрузки или USB-токен).</w:t>
        <w:br/>
        <w:br/>
        <w:t>Все эти средства жестко регулируются законами России, которые делятся на три уровня:</w:t>
        <w:br/>
        <w:t>1. Федеральные законы (базовые — 149-ФЗ об информации и 152-ФЗ о персональных данных).</w:t>
        <w:br/>
        <w:t>2. Постановления Правительства (например, Постановление №1119).</w:t>
        <w:br/>
        <w:t>3. Требования ведомств-регуляторов. Здесь главную роль играют два органа: ФСТЭК России (отвечает за техническую защиту конфиденциальных данных) и ФСБ России (регулирует все вопросы шифрования и криптографии).</w:t>
      </w:r>
    </w:p>
    <w:p>
      <w:pPr>
        <w:spacing w:before="240"/>
      </w:pPr>
      <w:r>
        <w:rPr>
          <w:b/>
        </w:rPr>
        <w:t>Часть 2. Практические результаты работы</w:t>
      </w:r>
    </w:p>
    <w:p>
      <w:r>
        <w:t>В практической части работы были детально изучены конкретные требования этих регуляторов.</w:t>
        <w:br/>
        <w:br/>
        <w:t>Во-первых, из общего перечня документов мы выделили именно нормативно-методические акты ФСТЭК и ФСБ. Сюда относятся Приказы ФСТЭК №17 и №21, Руководящие документы по защите от несанкционированного доступа и недекларированных возможностей, а также Положение ПКЗ-2005 и Типовые требования ФСБ.</w:t>
        <w:br/>
        <w:br/>
        <w:t>Во-вторых, на основе статьи 16 Федерального закона №149-ФЗ мы определили базовые технические обязанности. Закон требует использовать только сертифицированные средства защиты, блокировать несанкционированный доступ, вовремя обнаруживать взломы, защищать технику от вредоносных программ и обязательно настраивать резервное копирование для быстрого восстановления данных.</w:t>
        <w:br/>
        <w:br/>
        <w:t>В-третьих, был изучен Приказ ФСТЭК №21. Он задает четкий комплекс мер для защиты персональных данных. Программными и аппаратными средствами мы обязаны реализовать: надежную идентификацию пользователей, управление их правами, ведение защищенных журналов аудита, антивирусный контроль, межсетевые экраны, системы обнаружения вторжений (СОВ) и контроль целостности программной среды.</w:t>
        <w:br/>
        <w:br/>
        <w:t>В-четвертых, мы разобрали Типовые требования ФСБ России под номером 149/6/6-622, которые регламентируют работу с криптографией и шифрованием (СКЗИ). Требования здесь самые жесткие:</w:t>
        <w:br/>
        <w:t>• Разрешено использовать только сертифицированные ФСБ криптосредства;</w:t>
        <w:br/>
        <w:t>• Компьютеры должны оснащаться аппаратными модулями доверенной загрузки (так называемыми «электронными замками»), чтобы никто не мог загрузить чужую ОС с флешки;</w:t>
        <w:br/>
        <w:t>• Целостность программного обеспечения СКЗИ должна проверяться автоматически перед каждым запуском;</w:t>
        <w:br/>
        <w:t>• Ключи шифрования должны храниться на защищенных аппаратных токенах без возможности копирования;</w:t>
        <w:br/>
        <w:t>• Все неиспользуемые порты и интерфейсы (например, лишние USB) должны быть физически или программно заблокированы, чтобы исключить утечку данных.</w:t>
      </w:r>
    </w:p>
    <w:p>
      <w:pPr>
        <w:spacing w:before="240"/>
      </w:pPr>
      <w:r>
        <w:rPr>
          <w:b/>
        </w:rPr>
        <w:t>Заключение</w:t>
      </w:r>
    </w:p>
    <w:p>
      <w:r>
        <w:t>В заключение хочу отметить: проведенный анализ показывает, что защита информации не может быть однобокой. Надежная безопасность достигается только тогда, когда строгое соблюдение законов сочетается с грамотным внедрением комплексных программно-аппаратных средств защиты.</w:t>
        <w:br/>
        <w:br/>
        <w:t>На этом мой доклад окончен. Спасибо за внимание, я готов ответить на ваши вопросы!»</w:t>
      </w:r>
    </w:p>
    <w:sectPr w:rsidR="00FC693F" w:rsidRPr="0006063C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