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pPr>
      <w:hyperlink w:history="0" r:id="rId3" w:tooltip="Апелляционное определение Судебной коллегии по административным делам Верховного Суда РФ от 17.09.2016 по делу N 48-АПГ16-14 Требование: Об отмене регистрации кандидата в депутаты. Решение: В удовлетворении требования отказано, поскольку факт нарушения кандидатом законодательства об интеллектуальной собственности не доказан, так как установлено, что размещенные в печатных материалах логотипы социальных сетей совмещены со ссылками на страницы кандидата в этих социальных сетях и ведут на страницы кандидата. Т {КонсультантПлюс}">
        <w:r>
          <w:rPr>
            <w:sz w:val="24"/>
            <w:color w:val="0000ff"/>
          </w:rPr>
          <w:t xml:space="preserve">Апелляционное определение Судебной коллегии по административным делам Верховного Суда РФ от 17.09.2016 по делу N 48-АПГ16-14</w:t>
        </w:r>
      </w:hyperlink>
    </w:p>
    <w:p>
      <w:pPr>
        <w:pStyle w:val="0"/>
      </w:pPr>
      <w:hyperlink w:history="0" r:id="rId4" w:tooltip="Апелляционное определение Судебной коллегии по административным делам Верховного Суда РФ от 17.09.2016 по делу N 48-АПГ16-14 Требование: Об отмене регистрации кандидата в депутаты. Решение: В удовлетворении требования отказано, поскольку факт нарушения кандидатом законодательства об интеллектуальной собственности не доказан, так как установлено, что размещенные в печатных материалах логотипы социальных сетей совмещены со ссылками на страницы кандидата в этих социальных сетях и ведут на страницы кандидата. Т {КонсультантПлюс}">
        <w:r>
          <w:rPr>
            <w:sz w:val="22"/>
            <w:color w:val="0000ff"/>
          </w:rPr>
          <w:t xml:space="preserve">Требование:</w:t>
        </w:r>
      </w:hyperlink>
      <w:r>
        <w:rPr>
          <w:sz w:val="22"/>
        </w:rPr>
        <w:t xml:space="preserve"> Об отмене регистрации кандидата в депутаты.</w:t>
      </w:r>
    </w:p>
    <w:p>
      <w:pPr>
        <w:pStyle w:val="0"/>
      </w:pPr>
      <w:hyperlink w:history="0" r:id="rId5" w:tooltip="Апелляционное определение Судебной коллегии по административным делам Верховного Суда РФ от 17.09.2016 по делу N 48-АПГ16-14 Требование: Об отмене регистрации кандидата в депутаты. Решение: В удовлетворении требования отказано, поскольку факт нарушения кандидатом законодательства об интеллектуальной собственности не доказан, так как установлено, что размещенные в печатных материалах логотипы социальных сетей совмещены со ссылками на страницы кандидата в этих социальных сетях и ведут на страницы кандидата. Т {КонсультантПлюс}">
        <w:r>
          <w:rPr>
            <w:sz w:val="22"/>
            <w:color w:val="0000ff"/>
          </w:rPr>
          <w:t xml:space="preserve">Решение:</w:t>
        </w:r>
      </w:hyperlink>
      <w:r>
        <w:rPr>
          <w:sz w:val="22"/>
        </w:rPr>
        <w:t xml:space="preserve"> В удовлетворении требования отказано, поскольку факт нарушения кандидатом законодательства об интеллектуальной собственности не доказан, так как установлено, что размещенные в печатных материалах логотипы социальных сетей совмещены со ссылками на страницы кандидата в этих социальных сетях и ведут на страницы кандидата. Таким образом, спорные материалы не являются объектом агитации, а информируют о способе связи с кандидатом.</w:t>
      </w:r>
    </w:p>
    <w:p>
      <w:pPr>
        <w:pBdr>
          <w:left w:val="single" w:sz="16" w:color="7f7f7f"/>
        </w:pBdr>
        <w:pStyle w:val="0"/>
        <w:ind w:left="540"/>
      </w:pPr>
      <w:r>
        <w:rPr>
          <w:sz w:val="22"/>
        </w:rPr>
        <w:t xml:space="preserve">Судом установлено, что по заказу кандидата Колесникова О.А. 29 июля 2016 г. тиражом 20 000 экземпляров изготовлен печатный материал "Уральский характер О. Колесникова", на последней странице которого приведены товарные знаки социальных сетей "ВКонтакте", "Facebook", "Twitter", "Instagram", "Одноклассники" с указанием адресов аккаунтов Колесникова О.А. в...</w:t>
      </w: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Arial" w:hAnsi="Arial" w:cs="Arial"/>
      <w:sz w:val="24"/>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hyperlink" Target="https://login.consultant.ru/link/?req=doc&amp;base=ARB&amp;n=481571&amp;date=07.04.2026" TargetMode = "External"/><Relationship Id="rId4" Type="http://schemas.openxmlformats.org/officeDocument/2006/relationships/hyperlink" Target="https://login.consultant.ru/link/?req=doc&amp;base=ARB&amp;n=481571&amp;date=07.04.2026" TargetMode = "External"/><Relationship Id="rId5" Type="http://schemas.openxmlformats.org/officeDocument/2006/relationships/hyperlink" Target="https://login.consultant.ru/link/?req=doc&amp;base=ARB&amp;n=481571&amp;date=07.04.2026"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terms:created xsi:type="dcterms:W3CDTF">2026-04-07T10:24:17Z</dcterms:created>
</cp:coreProperties>
</file>