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pageBreakBefore w:val="0"/>
        <w:wordWrap/>
        <w:overflowPunct/>
        <w:topLinePunct w:val="0"/>
        <w:bidi w:val="0"/>
        <w:snapToGrid w:val="0"/>
        <w:spacing w:line="360" w:lineRule="auto"/>
        <w:outlineLvl w:val="1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附件 1</w:t>
      </w:r>
    </w:p>
    <w:p>
      <w:pPr>
        <w:pStyle w:val="2"/>
        <w:keepNext w:val="0"/>
        <w:keepLines w:val="0"/>
        <w:pageBreakBefore w:val="0"/>
        <w:wordWrap/>
        <w:overflowPunct/>
        <w:topLinePunct w:val="0"/>
        <w:bidi w:val="0"/>
        <w:snapToGrid w:val="0"/>
        <w:spacing w:line="360" w:lineRule="auto"/>
        <w:ind w:left="0" w:leftChars="0"/>
        <w:jc w:val="center"/>
        <w:rPr>
          <w:rFonts w:hint="eastAsia" w:ascii="华文中宋" w:hAnsi="华文中宋" w:eastAsia="华文中宋" w:cs="华文中宋"/>
          <w:sz w:val="32"/>
          <w:szCs w:val="32"/>
        </w:rPr>
      </w:pPr>
      <w:r>
        <w:rPr>
          <w:rFonts w:hint="eastAsia" w:ascii="华文中宋" w:hAnsi="华文中宋" w:eastAsia="华文中宋" w:cs="华文中宋"/>
          <w:sz w:val="32"/>
          <w:szCs w:val="32"/>
        </w:rPr>
        <w:t>“</w:t>
      </w:r>
      <w:r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  <w:t>小小心理学家</w:t>
      </w:r>
      <w:r>
        <w:rPr>
          <w:rFonts w:hint="eastAsia" w:ascii="华文中宋" w:hAnsi="华文中宋" w:eastAsia="华文中宋" w:cs="华文中宋"/>
          <w:sz w:val="32"/>
          <w:szCs w:val="32"/>
        </w:rPr>
        <w:t xml:space="preserve">” </w:t>
      </w:r>
      <w:r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  <w:t>创新大赛</w:t>
      </w:r>
      <w:r>
        <w:rPr>
          <w:rFonts w:hint="eastAsia" w:ascii="华文中宋" w:hAnsi="华文中宋" w:eastAsia="华文中宋" w:cs="华文中宋"/>
          <w:sz w:val="32"/>
          <w:szCs w:val="32"/>
        </w:rPr>
        <w:t>基本信息表</w:t>
      </w:r>
    </w:p>
    <w:p>
      <w:pPr>
        <w:pStyle w:val="3"/>
        <w:keepNext w:val="0"/>
        <w:keepLines w:val="0"/>
        <w:pageBreakBefore w:val="0"/>
        <w:wordWrap/>
        <w:overflowPunct/>
        <w:topLinePunct w:val="0"/>
        <w:bidi w:val="0"/>
        <w:snapToGrid w:val="0"/>
        <w:spacing w:line="360" w:lineRule="auto"/>
        <w:outlineLvl w:val="1"/>
        <w:rPr>
          <w:rFonts w:hint="eastAsia" w:ascii="黑体" w:hAnsi="黑体" w:eastAsia="黑体" w:cs="黑体"/>
          <w:b w:val="0"/>
          <w:bCs w:val="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lang w:val="en-US" w:eastAsia="zh-CN"/>
        </w:rPr>
        <w:t>一、基本情况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3"/>
        <w:gridCol w:w="1679"/>
        <w:gridCol w:w="1716"/>
        <w:gridCol w:w="1871"/>
        <w:gridCol w:w="1523"/>
      </w:tblGrid>
      <w:tr>
        <w:trPr>
          <w:jc w:val="center"/>
        </w:trPr>
        <w:tc>
          <w:tcPr>
            <w:tcW w:w="1802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w w:val="99"/>
                <w:sz w:val="32"/>
                <w:szCs w:val="32"/>
                <w:lang w:eastAsia="en-US"/>
                <w14:textFill>
                  <w14:solidFill>
                    <w14:schemeClr w14:val="tx1"/>
                  </w14:solidFill>
                </w14:textFill>
              </w:rPr>
              <w:t>提交参</w:t>
            </w:r>
            <w:r>
              <w:rPr>
                <w:rFonts w:hint="eastAsia" w:ascii="仿宋" w:hAnsi="仿宋" w:eastAsia="仿宋" w:cs="仿宋"/>
                <w:color w:val="000000" w:themeColor="text1"/>
                <w:w w:val="97"/>
                <w:sz w:val="32"/>
                <w:szCs w:val="32"/>
                <w:lang w:eastAsia="en-US"/>
                <w14:textFill>
                  <w14:solidFill>
                    <w14:schemeClr w14:val="tx1"/>
                  </w14:solidFill>
                </w14:textFill>
              </w:rPr>
              <w:t>赛的</w:t>
            </w:r>
            <w:r>
              <w:rPr>
                <w:rFonts w:hint="eastAsia" w:ascii="仿宋" w:hAnsi="仿宋" w:eastAsia="仿宋" w:cs="仿宋"/>
                <w:color w:val="000000" w:themeColor="text1"/>
                <w:w w:val="97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  <w:t>开发作品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w w:val="99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  <w:t>作品名称</w:t>
            </w:r>
          </w:p>
        </w:tc>
        <w:tc>
          <w:tcPr>
            <w:tcW w:w="5438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w w:val="99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  <w:t>知心陪练 PeerCoach——基于标准化来访者的青少年朋辈心理互助训练智能体</w:t>
            </w:r>
          </w:p>
        </w:tc>
      </w:tr>
      <w:tr>
        <w:trPr>
          <w:jc w:val="center"/>
        </w:trPr>
        <w:tc>
          <w:tcPr>
            <w:tcW w:w="1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color w:val="000000" w:themeColor="text1"/>
                <w:w w:val="97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w w:val="97"/>
                <w:sz w:val="32"/>
                <w:szCs w:val="32"/>
                <w:lang w:eastAsia="en-US"/>
                <w14:textFill>
                  <w14:solidFill>
                    <w14:schemeClr w14:val="tx1"/>
                  </w14:solidFill>
                </w14:textFill>
              </w:rPr>
              <w:t>成果附件</w:t>
            </w:r>
          </w:p>
        </w:tc>
        <w:tc>
          <w:tcPr>
            <w:tcW w:w="5438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auto"/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  <w:t>资源附件：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auto"/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  <w:t>①设计报告（docx、PDF）；②双智能体搭建包（案例智能体与督导智能体人设、案例剧本库与编写规范、工作流设计）；③网页训练场源码 index.html（案例库、训练场、成长档案、互助学堂、教师端班级看板）；④数据采集指南（问卷、前后测情境题、五维评分量规）；⑤过程性证明材料（步骤图片、3 分钟成果视频链接）；⑥查重报告。</w:t>
            </w:r>
          </w:p>
        </w:tc>
      </w:tr>
      <w:tr>
        <w:trPr>
          <w:jc w:val="center"/>
        </w:trPr>
        <w:tc>
          <w:tcPr>
            <w:tcW w:w="1802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auto"/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  <w:t>辅导老师（可加行，最多2人）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color w:val="000000" w:themeColor="text1"/>
                <w:w w:val="97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w w:val="97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183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color w:val="000000" w:themeColor="text1"/>
                <w:w w:val="97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w w:val="97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  <w:t>单位和职务</w:t>
            </w:r>
          </w:p>
        </w:tc>
        <w:tc>
          <w:tcPr>
            <w:tcW w:w="16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rPr>
          <w:jc w:val="center"/>
        </w:trPr>
        <w:tc>
          <w:tcPr>
            <w:tcW w:w="1802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color w:val="000000" w:themeColor="text1"/>
                <w:w w:val="97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w w:val="97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  <w:t>手机号码</w:t>
            </w:r>
          </w:p>
        </w:tc>
        <w:tc>
          <w:tcPr>
            <w:tcW w:w="183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7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color w:val="000000" w:themeColor="text1"/>
                <w:w w:val="97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w w:val="97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  <w:t>电子信箱</w:t>
            </w:r>
          </w:p>
        </w:tc>
        <w:tc>
          <w:tcPr>
            <w:tcW w:w="16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rPr>
          <w:trHeight w:val="2468" w:hRule="atLeast"/>
          <w:jc w:val="center"/>
        </w:trPr>
        <w:tc>
          <w:tcPr>
            <w:tcW w:w="180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  <w:t>作品简介</w:t>
            </w:r>
          </w:p>
        </w:tc>
        <w:tc>
          <w:tcPr>
            <w:tcW w:w="7208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  <w:t>「知心陪练 PeerCoach」反转了心理智能体的常见结构：不是 AI 安慰学生，而是 AI 扮演来倾诉的同学，训练学生成为"接得住的人"，呼应"小小心理学家"赛题本义。作品将医学教育的标准化病人方法迁移到朋辈互助训练：案例智能体按隐藏剧本扮演有困扰的同学，回应质量实时驱动"信任值"；督导智能体按倾听、共情、提问、边界、转介五维逐句评分复盘。四个分级案例逐关解锁，终极关卡考核危机信号识别，应对不当一票否决。扣子端双智能体编排，配套零依赖网页训练场；学生档案汇入教师端班级看板，支持班会课课堂模式，形成"学生练—档案记—老师督"校园闭环，效果以危机识别正确率等前后测量化。</w:t>
            </w:r>
          </w:p>
        </w:tc>
      </w:tr>
      <w:tr>
        <w:trPr>
          <w:jc w:val="center"/>
        </w:trPr>
        <w:tc>
          <w:tcPr>
            <w:tcW w:w="9010" w:type="dxa"/>
            <w:gridSpan w:val="5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  <w:t>参赛人员</w:t>
            </w:r>
          </w:p>
        </w:tc>
      </w:tr>
      <w:tr>
        <w:trPr>
          <w:jc w:val="center"/>
        </w:trPr>
        <w:tc>
          <w:tcPr>
            <w:tcW w:w="180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7208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  <w:t>学校/年级</w:t>
            </w:r>
          </w:p>
        </w:tc>
      </w:tr>
      <w:tr>
        <w:trPr>
          <w:jc w:val="center"/>
        </w:trPr>
        <w:tc>
          <w:tcPr>
            <w:tcW w:w="180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auto"/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08" w:type="dxa"/>
            <w:gridSpan w:val="4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auto"/>
              <w:rPr>
                <w:rFonts w:hint="eastAsia" w:ascii="仿宋" w:hAnsi="仿宋" w:eastAsia="仿宋" w:cs="仿宋"/>
                <w:color w:val="000000" w:themeColor="text1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77EE04"/>
    <w:rsid w:val="7E77EE04"/>
    <w:rsid w:val="8FFCD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rPr>
      <w:rFonts w:eastAsiaTheme="minorEastAsia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2026-03-20T04:57:00Z</dcterms:created>
  <dc:creator>子规</dc:creator>
  <cp:lastModifiedBy>子规</cp:lastModifiedBy>
  <dcterms:modified xsi:type="dcterms:W3CDTF">2026-04-01T18:36:44Z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554F02F25A766407D7F2BB690B1E16D0_41</vt:lpwstr>
  </property>
</Properties>
</file>