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B644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E6FE8" wp14:editId="16D7C8F6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454940" wp14:editId="50180BD1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1164F059" w14:textId="77777777" w:rsidR="00740B8D" w:rsidRDefault="00740B8D" w:rsidP="000C7322">
      <w:pPr>
        <w:jc w:val="center"/>
        <w:rPr>
          <w:rFonts w:hint="eastAsia"/>
        </w:rPr>
      </w:pPr>
    </w:p>
    <w:p w14:paraId="68654F29" w14:textId="77777777" w:rsidR="00740B8D" w:rsidRDefault="00740B8D" w:rsidP="000C7322">
      <w:pPr>
        <w:jc w:val="center"/>
        <w:rPr>
          <w:rFonts w:hint="eastAsia"/>
        </w:rPr>
      </w:pPr>
    </w:p>
    <w:p w14:paraId="119AC704" w14:textId="5D5B48E8" w:rsidR="003B6B08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82709F">
        <w:rPr>
          <w:rFonts w:hint="eastAsia"/>
          <w:sz w:val="32"/>
          <w:szCs w:val="32"/>
        </w:rPr>
        <w:t>电工电子技术</w:t>
      </w:r>
    </w:p>
    <w:p w14:paraId="79D1A63D" w14:textId="0C07BA3D" w:rsidR="00740B8D" w:rsidRPr="00620FCF" w:rsidRDefault="00740B8D" w:rsidP="0082709F">
      <w:pPr>
        <w:ind w:firstLineChars="487" w:firstLine="1558"/>
        <w:jc w:val="center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bookmarkStart w:id="0" w:name="_Hlk213708112"/>
      <w:r w:rsidR="0082709F">
        <w:rPr>
          <w:rFonts w:hint="eastAsia"/>
          <w:sz w:val="32"/>
          <w:szCs w:val="32"/>
        </w:rPr>
        <w:t>线性、</w:t>
      </w:r>
      <w:r w:rsidR="0082709F" w:rsidRPr="0082709F">
        <w:rPr>
          <w:rFonts w:hint="eastAsia"/>
          <w:sz w:val="32"/>
          <w:szCs w:val="32"/>
        </w:rPr>
        <w:t>非线性电阻的伏安特性与戴维南定理</w:t>
      </w:r>
      <w:r w:rsidR="0082709F">
        <w:rPr>
          <w:rFonts w:hint="eastAsia"/>
          <w:sz w:val="32"/>
          <w:szCs w:val="32"/>
        </w:rPr>
        <w:t>和诺顿定理的实验</w:t>
      </w:r>
      <w:r w:rsidR="0082709F" w:rsidRPr="0082709F">
        <w:rPr>
          <w:rFonts w:hint="eastAsia"/>
          <w:sz w:val="32"/>
          <w:szCs w:val="32"/>
        </w:rPr>
        <w:t>验证</w:t>
      </w:r>
    </w:p>
    <w:bookmarkEnd w:id="0"/>
    <w:p w14:paraId="7AE35E6E" w14:textId="77777777" w:rsidR="00740B8D" w:rsidRPr="0082709F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7FAA8DEE" w14:textId="77777777" w:rsidR="00D25E9E" w:rsidRDefault="00D25E9E" w:rsidP="000C7322">
      <w:pPr>
        <w:rPr>
          <w:rFonts w:hint="eastAsia"/>
        </w:rPr>
      </w:pPr>
    </w:p>
    <w:p w14:paraId="4D13D9EC" w14:textId="448AE453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82709F">
        <w:rPr>
          <w:rFonts w:hint="eastAsia"/>
          <w:sz w:val="28"/>
          <w:szCs w:val="28"/>
        </w:rPr>
        <w:t>电子与光学工程学院、柔性电子(未来技术)学院</w:t>
      </w:r>
    </w:p>
    <w:p w14:paraId="0D9C1352" w14:textId="1A103244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82709F">
        <w:rPr>
          <w:rFonts w:hint="eastAsia"/>
          <w:sz w:val="28"/>
          <w:szCs w:val="28"/>
        </w:rPr>
        <w:t>B240214</w:t>
      </w:r>
    </w:p>
    <w:p w14:paraId="379DE970" w14:textId="44386A8A" w:rsidR="00620FCF" w:rsidRPr="0082709F" w:rsidRDefault="00740B8D" w:rsidP="0082709F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学号：</w:t>
      </w:r>
      <w:r w:rsidR="0082709F">
        <w:rPr>
          <w:rFonts w:hint="eastAsia"/>
          <w:sz w:val="28"/>
          <w:szCs w:val="28"/>
        </w:rPr>
        <w:t>B240214</w:t>
      </w:r>
      <w:r w:rsidR="0082709F">
        <w:rPr>
          <w:rFonts w:hint="eastAsia"/>
          <w:sz w:val="28"/>
          <w:szCs w:val="28"/>
          <w:u w:val="single"/>
        </w:rPr>
        <w:t>07</w:t>
      </w:r>
    </w:p>
    <w:p w14:paraId="40112D74" w14:textId="717F374E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82709F">
        <w:rPr>
          <w:rFonts w:hint="eastAsia"/>
          <w:sz w:val="28"/>
          <w:szCs w:val="28"/>
        </w:rPr>
        <w:t>秦玥</w:t>
      </w:r>
    </w:p>
    <w:p w14:paraId="6E0984B8" w14:textId="4319DEF1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82709F">
        <w:rPr>
          <w:rFonts w:hint="eastAsia"/>
          <w:sz w:val="28"/>
          <w:szCs w:val="28"/>
        </w:rPr>
        <w:t>黄烽</w:t>
      </w:r>
    </w:p>
    <w:p w14:paraId="7E356EEA" w14:textId="4EB7A8A8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82709F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82709F">
        <w:rPr>
          <w:rFonts w:hint="eastAsia"/>
          <w:sz w:val="28"/>
          <w:szCs w:val="28"/>
        </w:rPr>
        <w:t xml:space="preserve"> 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62ED12BF" w14:textId="77777777" w:rsidR="00FD0D17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5179F1DB" w14:textId="77777777" w:rsidR="0082709F" w:rsidRDefault="0082709F" w:rsidP="0082709F">
      <w:pPr>
        <w:rPr>
          <w:rFonts w:ascii="宋体" w:eastAsia="宋体" w:hAnsi="宋体" w:hint="eastAsia"/>
          <w:b/>
          <w:bCs/>
          <w:kern w:val="44"/>
          <w:sz w:val="44"/>
          <w:szCs w:val="44"/>
        </w:rPr>
      </w:pPr>
    </w:p>
    <w:p w14:paraId="0F547C5A" w14:textId="7FE6B9FC" w:rsidR="0082709F" w:rsidRPr="0082709F" w:rsidRDefault="0082709F" w:rsidP="0082709F">
      <w:pPr>
        <w:jc w:val="center"/>
        <w:rPr>
          <w:rFonts w:hint="eastAsia"/>
        </w:rPr>
      </w:pPr>
      <w:r w:rsidRPr="0082709F">
        <w:rPr>
          <w:rFonts w:ascii="宋体" w:eastAsia="宋体" w:hAnsi="宋体" w:hint="eastAsia"/>
          <w:b/>
          <w:bCs/>
          <w:kern w:val="44"/>
          <w:sz w:val="44"/>
          <w:szCs w:val="44"/>
        </w:rPr>
        <w:lastRenderedPageBreak/>
        <w:t>线性、非线性电阻的伏安特性与戴维南定理和诺顿定理的实验验证</w:t>
      </w:r>
    </w:p>
    <w:p w14:paraId="45EAA74E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5A28B8CB" w14:textId="68F3B4BA" w:rsidR="0082709F" w:rsidRPr="003C1E4F" w:rsidRDefault="0082709F" w:rsidP="0082709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1、掌握非线性元件（发光二极管、稳压管）伏安特性的测量方法。</w:t>
      </w:r>
    </w:p>
    <w:p w14:paraId="674630FD" w14:textId="26A233E6" w:rsidR="0082709F" w:rsidRPr="003C1E4F" w:rsidRDefault="0082709F" w:rsidP="0082709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2、理解线性与非线性元件在伏安特性上的差异。</w:t>
      </w:r>
    </w:p>
    <w:p w14:paraId="0AD253AC" w14:textId="233C6D66" w:rsidR="0082709F" w:rsidRPr="003C1E4F" w:rsidRDefault="0082709F" w:rsidP="0082709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3、验证戴维南定理的正确性，掌握等效电源参数的测量方法。</w:t>
      </w:r>
    </w:p>
    <w:p w14:paraId="4949ECFF" w14:textId="3A7DDBF4" w:rsidR="0082709F" w:rsidRPr="003C1E4F" w:rsidRDefault="0082709F" w:rsidP="0082709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4、分析实验误差来源及改进措施。</w:t>
      </w:r>
    </w:p>
    <w:p w14:paraId="34F060F5" w14:textId="77777777" w:rsidR="00027F52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7D8F0E56" w14:textId="55B3993E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1、直流稳压电源</w:t>
      </w:r>
    </w:p>
    <w:p w14:paraId="7425E5BC" w14:textId="45F72521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2、数字万用表</w:t>
      </w:r>
    </w:p>
    <w:p w14:paraId="6CEB5E19" w14:textId="3526E191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3、发光二极管（LED）、稳压管</w:t>
      </w:r>
    </w:p>
    <w:p w14:paraId="1C85C837" w14:textId="65B998BB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4、电阻箱、电位器</w:t>
      </w:r>
    </w:p>
    <w:p w14:paraId="6D412888" w14:textId="563616CA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5、实验电路板及导线</w:t>
      </w:r>
    </w:p>
    <w:p w14:paraId="21E9C72D" w14:textId="10E65810" w:rsidR="00C17526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</w:p>
    <w:p w14:paraId="2EE9C50E" w14:textId="77777777" w:rsidR="003C1E4F" w:rsidRPr="003C1E4F" w:rsidRDefault="003C1E4F" w:rsidP="003C1E4F">
      <w:pPr>
        <w:rPr>
          <w:rFonts w:ascii="宋体" w:eastAsia="宋体" w:hAnsi="宋体" w:hint="eastAsia"/>
          <w:b/>
          <w:bCs/>
        </w:rPr>
      </w:pPr>
      <w:r w:rsidRPr="003C1E4F">
        <w:rPr>
          <w:rFonts w:ascii="宋体" w:eastAsia="宋体" w:hAnsi="宋体"/>
          <w:b/>
          <w:bCs/>
        </w:rPr>
        <w:t>（一）非线性元件伏安特性测量</w:t>
      </w:r>
    </w:p>
    <w:p w14:paraId="5939667A" w14:textId="77777777" w:rsidR="003C1E4F" w:rsidRPr="003C1E4F" w:rsidRDefault="003C1E4F" w:rsidP="003C1E4F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3C1E4F">
        <w:rPr>
          <w:rFonts w:ascii="宋体" w:eastAsia="宋体" w:hAnsi="宋体"/>
          <w:b/>
          <w:bCs/>
        </w:rPr>
        <w:t>发光二极管（LED）</w:t>
      </w:r>
    </w:p>
    <w:p w14:paraId="0A1D3F99" w14:textId="77777777" w:rsidR="003C1E4F" w:rsidRPr="003C1E4F" w:rsidRDefault="003C1E4F" w:rsidP="003C1E4F">
      <w:pPr>
        <w:ind w:firstLine="36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正向测量：按图 5.10 (a) 接线，调节电源使电流分别为 1mA、3mA、5mA、10mA、15mA，记录对应电压。</w:t>
      </w:r>
    </w:p>
    <w:p w14:paraId="1F1D8BED" w14:textId="77777777" w:rsidR="003C1E4F" w:rsidRPr="003C1E4F" w:rsidRDefault="003C1E4F" w:rsidP="003C1E4F">
      <w:pPr>
        <w:ind w:firstLine="36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反向测量：按图 5.10 (b) 接线，调节电压为 - 1V、-2V、-3V、-5V、-8V，记录对应电流。</w:t>
      </w:r>
    </w:p>
    <w:p w14:paraId="4B8DD78B" w14:textId="77777777" w:rsidR="003C1E4F" w:rsidRPr="003C1E4F" w:rsidRDefault="003C1E4F" w:rsidP="003C1E4F">
      <w:pPr>
        <w:numPr>
          <w:ilvl w:val="0"/>
          <w:numId w:val="6"/>
        </w:numPr>
        <w:rPr>
          <w:rFonts w:ascii="宋体" w:eastAsia="宋体" w:hAnsi="宋体" w:hint="eastAsia"/>
        </w:rPr>
      </w:pPr>
      <w:r w:rsidRPr="003C1E4F">
        <w:rPr>
          <w:rFonts w:ascii="宋体" w:eastAsia="宋体" w:hAnsi="宋体"/>
          <w:b/>
          <w:bCs/>
        </w:rPr>
        <w:t>稳压管</w:t>
      </w:r>
    </w:p>
    <w:p w14:paraId="1B92BE2C" w14:textId="77777777" w:rsidR="003C1E4F" w:rsidRPr="003C1E4F" w:rsidRDefault="003C1E4F" w:rsidP="003C1E4F">
      <w:pPr>
        <w:ind w:firstLine="36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正向测量：按图 5.11 (a) 接线，调节电流为 1mA、2mA、3mA、5mA、10mA、15mA、20mA，记录对应电压。</w:t>
      </w:r>
    </w:p>
    <w:p w14:paraId="67966D2E" w14:textId="77777777" w:rsidR="003C1E4F" w:rsidRPr="003C1E4F" w:rsidRDefault="003C1E4F" w:rsidP="003C1E4F">
      <w:pPr>
        <w:ind w:firstLine="42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反向测量：按图 5.11 (b) 接线，调节电压为 - 3V、-6V、-9V、-12V、-15V，记录对应电流。</w:t>
      </w:r>
    </w:p>
    <w:p w14:paraId="10E77DB1" w14:textId="77777777" w:rsidR="003C1E4F" w:rsidRPr="003C1E4F" w:rsidRDefault="003C1E4F" w:rsidP="003C1E4F">
      <w:pPr>
        <w:rPr>
          <w:rFonts w:ascii="宋体" w:eastAsia="宋体" w:hAnsi="宋体" w:hint="eastAsia"/>
          <w:b/>
          <w:bCs/>
        </w:rPr>
      </w:pPr>
      <w:r w:rsidRPr="003C1E4F">
        <w:rPr>
          <w:rFonts w:ascii="宋体" w:eastAsia="宋体" w:hAnsi="宋体"/>
          <w:b/>
          <w:bCs/>
        </w:rPr>
        <w:t>（二）戴维南定理验证</w:t>
      </w:r>
    </w:p>
    <w:p w14:paraId="1BCDAC12" w14:textId="77777777" w:rsidR="003C1E4F" w:rsidRPr="003C1E4F" w:rsidRDefault="003C1E4F" w:rsidP="003C1E4F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3C1E4F">
        <w:rPr>
          <w:rFonts w:ascii="宋体" w:eastAsia="宋体" w:hAnsi="宋体"/>
          <w:b/>
          <w:bCs/>
        </w:rPr>
        <w:t>测量等效参数</w:t>
      </w:r>
    </w:p>
    <w:p w14:paraId="3C4EEDEE" w14:textId="77777777" w:rsidR="003C1E4F" w:rsidRPr="003C1E4F" w:rsidRDefault="003C1E4F" w:rsidP="003C1E4F">
      <w:pPr>
        <w:ind w:firstLine="36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开路电压 ：断开负载，直接测量端口电压。</w:t>
      </w:r>
    </w:p>
    <w:p w14:paraId="1F58BAA2" w14:textId="098AF9C0" w:rsidR="003C1E4F" w:rsidRPr="003C1E4F" w:rsidRDefault="003C1E4F" w:rsidP="002C1CEA">
      <w:pPr>
        <w:ind w:firstLine="360"/>
        <w:rPr>
          <w:rFonts w:ascii="宋体" w:eastAsia="宋体" w:hAnsi="宋体" w:hint="eastAsia"/>
        </w:rPr>
      </w:pPr>
      <w:r w:rsidRPr="003C1E4F">
        <w:rPr>
          <w:rFonts w:ascii="宋体" w:eastAsia="宋体" w:hAnsi="宋体"/>
        </w:rPr>
        <w:t>短路电流 ：端口短路，测量短路电流</w:t>
      </w:r>
      <w:r w:rsidR="002C1CEA">
        <w:rPr>
          <w:rFonts w:ascii="宋体" w:eastAsia="宋体" w:hAnsi="宋体" w:hint="eastAsia"/>
        </w:rPr>
        <w:t>。</w:t>
      </w:r>
      <w:r w:rsidR="002C1CEA" w:rsidRPr="003C1E4F">
        <w:rPr>
          <w:rFonts w:ascii="宋体" w:eastAsia="宋体" w:hAnsi="宋体" w:hint="eastAsia"/>
        </w:rPr>
        <w:t xml:space="preserve"> </w:t>
      </w:r>
    </w:p>
    <w:p w14:paraId="29FC95EB" w14:textId="77777777" w:rsidR="003C1E4F" w:rsidRPr="003C1E4F" w:rsidRDefault="003C1E4F" w:rsidP="003C1E4F">
      <w:pPr>
        <w:numPr>
          <w:ilvl w:val="0"/>
          <w:numId w:val="7"/>
        </w:numPr>
        <w:rPr>
          <w:rFonts w:ascii="宋体" w:eastAsia="宋体" w:hAnsi="宋体" w:hint="eastAsia"/>
        </w:rPr>
      </w:pPr>
      <w:r w:rsidRPr="003C1E4F">
        <w:rPr>
          <w:rFonts w:ascii="宋体" w:eastAsia="宋体" w:hAnsi="宋体"/>
          <w:b/>
          <w:bCs/>
        </w:rPr>
        <w:t>外特性验证</w:t>
      </w:r>
    </w:p>
    <w:p w14:paraId="5A1033A2" w14:textId="77777777" w:rsidR="003C1E4F" w:rsidRPr="003C1E4F" w:rsidRDefault="003C1E4F" w:rsidP="003C1E4F">
      <w:pPr>
        <w:ind w:firstLine="360"/>
        <w:rPr>
          <w:rFonts w:hint="eastAsia"/>
        </w:rPr>
      </w:pPr>
      <w:r w:rsidRPr="003C1E4F">
        <w:rPr>
          <w:rFonts w:ascii="宋体" w:eastAsia="宋体" w:hAnsi="宋体"/>
        </w:rPr>
        <w:t>原网络与等效电路分别接相同负载，测量输出电压和电流，比较一致性。</w:t>
      </w:r>
    </w:p>
    <w:p w14:paraId="28599E5A" w14:textId="77777777" w:rsidR="003C1E4F" w:rsidRPr="003C1E4F" w:rsidRDefault="003C1E4F" w:rsidP="003C1E4F">
      <w:pPr>
        <w:rPr>
          <w:rFonts w:hint="eastAsia"/>
        </w:rPr>
      </w:pPr>
    </w:p>
    <w:p w14:paraId="21032B3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lastRenderedPageBreak/>
        <w:t>实验电路图</w:t>
      </w:r>
    </w:p>
    <w:p w14:paraId="78CB643A" w14:textId="35D8375A" w:rsidR="005D40DF" w:rsidRPr="005D40DF" w:rsidRDefault="005D40DF" w:rsidP="005D40DF">
      <w:pPr>
        <w:rPr>
          <w:rFonts w:hint="eastAsia"/>
        </w:rPr>
      </w:pPr>
      <w:r>
        <w:rPr>
          <w:rFonts w:hint="eastAsia"/>
        </w:rPr>
        <w:t>1、测量发光二极管正反伏安特性</w:t>
      </w:r>
    </w:p>
    <w:p w14:paraId="7FAF8465" w14:textId="67B85250" w:rsidR="005D40DF" w:rsidRDefault="005D40DF" w:rsidP="005D40DF">
      <w:pPr>
        <w:rPr>
          <w:rFonts w:hint="eastAsia"/>
        </w:rPr>
      </w:pPr>
      <w:r>
        <w:rPr>
          <w:noProof/>
        </w:rPr>
        <w:drawing>
          <wp:inline distT="0" distB="0" distL="0" distR="0" wp14:anchorId="2BCCE6E1" wp14:editId="7FD884D2">
            <wp:extent cx="5264150" cy="2832100"/>
            <wp:effectExtent l="0" t="0" r="0" b="0"/>
            <wp:docPr id="136087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4825" w14:textId="7DD879F3" w:rsidR="005D40DF" w:rsidRDefault="005D40DF" w:rsidP="005D40DF">
      <w:pPr>
        <w:rPr>
          <w:rFonts w:hint="eastAsia"/>
        </w:rPr>
      </w:pPr>
      <w:r>
        <w:rPr>
          <w:rFonts w:hint="eastAsia"/>
        </w:rPr>
        <w:t>2、测量稳压管伏安特性</w:t>
      </w:r>
    </w:p>
    <w:p w14:paraId="3E5765F5" w14:textId="2352BD25" w:rsidR="005D40DF" w:rsidRDefault="005D40DF" w:rsidP="005D40DF">
      <w:pPr>
        <w:rPr>
          <w:rFonts w:hint="eastAsia"/>
        </w:rPr>
      </w:pPr>
      <w:r>
        <w:rPr>
          <w:noProof/>
        </w:rPr>
        <w:drawing>
          <wp:inline distT="0" distB="0" distL="0" distR="0" wp14:anchorId="1F6EEB82" wp14:editId="71C0786B">
            <wp:extent cx="5264150" cy="2381250"/>
            <wp:effectExtent l="0" t="0" r="0" b="0"/>
            <wp:docPr id="19383650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E7AE" w14:textId="3E06D256" w:rsidR="005D40DF" w:rsidRDefault="005D40DF" w:rsidP="005D40DF">
      <w:pPr>
        <w:rPr>
          <w:rFonts w:hint="eastAsia"/>
        </w:rPr>
      </w:pPr>
      <w:r>
        <w:rPr>
          <w:rFonts w:hint="eastAsia"/>
        </w:rPr>
        <w:t>3、戴维南和诺顿定理验证</w:t>
      </w:r>
    </w:p>
    <w:p w14:paraId="2FBCE3BA" w14:textId="4720FB5B" w:rsidR="005D40DF" w:rsidRDefault="005D40DF" w:rsidP="005D40D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B1BBAF" wp14:editId="69DA2B6A">
            <wp:extent cx="5264150" cy="2933700"/>
            <wp:effectExtent l="0" t="0" r="0" b="0"/>
            <wp:docPr id="7846371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243" cy="293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D0BE" w14:textId="1A0DC0BF" w:rsidR="005D40DF" w:rsidRPr="005D40DF" w:rsidRDefault="005D40DF" w:rsidP="005D40DF">
      <w:pPr>
        <w:rPr>
          <w:rFonts w:hint="eastAsia"/>
        </w:rPr>
      </w:pPr>
      <w:r>
        <w:rPr>
          <w:noProof/>
        </w:rPr>
        <w:drawing>
          <wp:inline distT="0" distB="0" distL="0" distR="0" wp14:anchorId="464D7A10" wp14:editId="498AB8A3">
            <wp:extent cx="5264150" cy="1473200"/>
            <wp:effectExtent l="0" t="0" r="0" b="0"/>
            <wp:docPr id="11164284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A885" w14:textId="77777777" w:rsidR="00027F52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  <w:r w:rsidR="00FE22B3" w:rsidRPr="009926A4">
        <w:rPr>
          <w:rFonts w:ascii="宋体" w:eastAsia="宋体" w:hAnsi="宋体" w:hint="eastAsia"/>
          <w:sz w:val="28"/>
          <w:szCs w:val="28"/>
        </w:rPr>
        <w:t>和</w:t>
      </w:r>
      <w:r w:rsidR="00FE22B3" w:rsidRPr="009926A4">
        <w:rPr>
          <w:rFonts w:ascii="宋体" w:eastAsia="宋体" w:hAnsi="宋体"/>
          <w:sz w:val="28"/>
          <w:szCs w:val="28"/>
        </w:rPr>
        <w:t>实验结果</w:t>
      </w:r>
    </w:p>
    <w:p w14:paraId="2A1BC965" w14:textId="38AE7DBC" w:rsidR="003C1E4F" w:rsidRDefault="003C1E4F" w:rsidP="000D6CAE">
      <w:pPr>
        <w:pStyle w:val="3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0" w:line="360" w:lineRule="atLeast"/>
        <w:rPr>
          <w:rFonts w:ascii="宋体" w:eastAsia="宋体" w:hAnsi="宋体" w:cs="Segoe UI" w:hint="eastAsia"/>
          <w:color w:val="000000"/>
          <w:sz w:val="21"/>
          <w:szCs w:val="21"/>
        </w:rPr>
      </w:pPr>
      <w:r w:rsidRPr="003C1E4F">
        <w:rPr>
          <w:rFonts w:ascii="宋体" w:eastAsia="宋体" w:hAnsi="宋体" w:cs="Segoe UI"/>
          <w:color w:val="000000"/>
          <w:sz w:val="21"/>
          <w:szCs w:val="21"/>
        </w:rPr>
        <w:t>发光二极管伏安特性（表 5.3）</w:t>
      </w:r>
    </w:p>
    <w:p w14:paraId="576AD65C" w14:textId="3A729435" w:rsidR="000D6CAE" w:rsidRPr="000D6CAE" w:rsidRDefault="002C1CEA" w:rsidP="000D6CA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DB8126" wp14:editId="20CB8323">
            <wp:extent cx="5270500" cy="1441450"/>
            <wp:effectExtent l="0" t="0" r="6350" b="6350"/>
            <wp:docPr id="17756002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FE2D" w14:textId="77777777" w:rsidR="003C1E4F" w:rsidRDefault="003C1E4F" w:rsidP="003C1E4F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宋体" w:eastAsia="宋体" w:hAnsi="宋体" w:cs="Segoe UI" w:hint="eastAsia"/>
          <w:color w:val="000000"/>
          <w:sz w:val="21"/>
          <w:szCs w:val="21"/>
        </w:rPr>
      </w:pPr>
      <w:r w:rsidRPr="003C1E4F">
        <w:rPr>
          <w:rFonts w:ascii="宋体" w:eastAsia="宋体" w:hAnsi="宋体" w:cs="Segoe UI"/>
          <w:color w:val="000000"/>
          <w:sz w:val="21"/>
          <w:szCs w:val="21"/>
        </w:rPr>
        <w:lastRenderedPageBreak/>
        <w:t>（二）稳压管伏安特性（表 5.4）</w:t>
      </w:r>
    </w:p>
    <w:p w14:paraId="1E6BADB5" w14:textId="437BE858" w:rsidR="000D6CAE" w:rsidRPr="000D6CAE" w:rsidRDefault="002C1CEA" w:rsidP="000D6CA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2B3184" wp14:editId="0FFE8BB7">
            <wp:extent cx="5264150" cy="1612900"/>
            <wp:effectExtent l="0" t="0" r="0" b="6350"/>
            <wp:docPr id="758966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A15F" w14:textId="77777777" w:rsidR="003C1E4F" w:rsidRPr="003C1E4F" w:rsidRDefault="003C1E4F" w:rsidP="003C1E4F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宋体" w:eastAsia="宋体" w:hAnsi="宋体" w:cs="Segoe UI" w:hint="eastAsia"/>
          <w:color w:val="000000"/>
          <w:sz w:val="21"/>
          <w:szCs w:val="21"/>
        </w:rPr>
      </w:pPr>
      <w:r w:rsidRPr="003C1E4F">
        <w:rPr>
          <w:rFonts w:ascii="宋体" w:eastAsia="宋体" w:hAnsi="宋体" w:cs="Segoe UI"/>
          <w:color w:val="000000"/>
          <w:sz w:val="21"/>
          <w:szCs w:val="21"/>
        </w:rPr>
        <w:t>（三）戴维南定理测试数据（表 5.7）</w:t>
      </w:r>
    </w:p>
    <w:p w14:paraId="3A8A7024" w14:textId="1D82BF24" w:rsidR="003C1E4F" w:rsidRPr="003C1E4F" w:rsidRDefault="002C1CEA" w:rsidP="003C1E4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27514F" wp14:editId="17616F7B">
            <wp:extent cx="5270500" cy="1524000"/>
            <wp:effectExtent l="0" t="0" r="6350" b="0"/>
            <wp:docPr id="21029137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34C6" w14:textId="77777777" w:rsidR="00F81907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47CECE3E" w14:textId="62B68505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1、非线性元件的伏安特性曲线不是直线，电压与电流的比值随工作点变化。</w:t>
      </w:r>
    </w:p>
    <w:p w14:paraId="63CAED9F" w14:textId="72B8E4C4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2、戴维南定理对线性有源网络有效，等效参数可通过多种实验方法准确测量。</w:t>
      </w:r>
    </w:p>
    <w:p w14:paraId="0343BAA3" w14:textId="71DDBCC0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3、实验误差可通过改进测量方法（如零示法）和使用高精度仪器减小。</w:t>
      </w:r>
    </w:p>
    <w:p w14:paraId="573F59FB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5A1EE34D" w14:textId="639F522E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1、稳压管的稳压功能利用了反向击穿区，此时电压变化小而电流变化大，实现稳压。</w:t>
      </w:r>
    </w:p>
    <w:p w14:paraId="6E02E6DF" w14:textId="65D592E0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2、线性与非线性元件串联的伏安特性可通过 “逐点作图法” 绘制，即对同一电流，总电压为两者电压之和。</w:t>
      </w:r>
    </w:p>
    <w:p w14:paraId="7915D9D5" w14:textId="7BCDA8A4" w:rsidR="003C1E4F" w:rsidRPr="003C1E4F" w:rsidRDefault="003C1E4F" w:rsidP="003C1E4F">
      <w:pPr>
        <w:rPr>
          <w:rFonts w:ascii="宋体" w:eastAsia="宋体" w:hAnsi="宋体" w:hint="eastAsia"/>
        </w:rPr>
      </w:pPr>
      <w:r w:rsidRPr="003C1E4F">
        <w:rPr>
          <w:rFonts w:ascii="宋体" w:eastAsia="宋体" w:hAnsi="宋体" w:hint="eastAsia"/>
        </w:rPr>
        <w:t>3、两只稳压管串联可得到四种电压值：16V、6.7V、10.7V、1.4V</w:t>
      </w:r>
    </w:p>
    <w:p w14:paraId="2A7E25D0" w14:textId="77777777" w:rsidR="005332E8" w:rsidRP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447D6CA9" w14:textId="79E38B29" w:rsidR="00982227" w:rsidRPr="002C1CEA" w:rsidRDefault="002C1CEA" w:rsidP="002C1CEA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Cs w:val="21"/>
        </w:rPr>
      </w:pPr>
      <w:r w:rsidRPr="002C1CEA">
        <w:rPr>
          <w:rFonts w:ascii="宋体" w:eastAsia="宋体" w:hAnsi="宋体" w:hint="eastAsia"/>
          <w:szCs w:val="21"/>
        </w:rPr>
        <w:t>预习报告</w:t>
      </w:r>
    </w:p>
    <w:p w14:paraId="5A6BF003" w14:textId="6FA2F073" w:rsidR="002C1CEA" w:rsidRDefault="002C1CEA" w:rsidP="002C1CEA">
      <w:pPr>
        <w:rPr>
          <w:rFonts w:ascii="宋体" w:eastAsia="宋体" w:hAnsi="宋体"/>
          <w:szCs w:val="21"/>
        </w:rPr>
      </w:pPr>
      <w:r w:rsidRPr="002C1CEA">
        <w:rPr>
          <w:rFonts w:ascii="宋体" w:eastAsia="宋体" w:hAnsi="宋体" w:hint="eastAsia"/>
          <w:szCs w:val="21"/>
        </w:rPr>
        <w:lastRenderedPageBreak/>
        <w:drawing>
          <wp:inline distT="0" distB="0" distL="0" distR="0" wp14:anchorId="49C0249D" wp14:editId="308FCABD">
            <wp:extent cx="2622550" cy="3420110"/>
            <wp:effectExtent l="0" t="0" r="6350" b="8890"/>
            <wp:docPr id="134318309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72" cy="345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6B49862E" wp14:editId="07750D67">
            <wp:extent cx="2545956" cy="3420110"/>
            <wp:effectExtent l="0" t="0" r="6985" b="8890"/>
            <wp:docPr id="9373880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994" cy="344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7EAD892B" wp14:editId="6641DAD5">
            <wp:extent cx="2609850" cy="3479906"/>
            <wp:effectExtent l="0" t="0" r="0" b="6350"/>
            <wp:docPr id="16092291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639" cy="35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62743D91" wp14:editId="162D6329">
            <wp:extent cx="2595244" cy="3460430"/>
            <wp:effectExtent l="0" t="0" r="0" b="6985"/>
            <wp:docPr id="4767347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574" cy="346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BCC3" w14:textId="5F6B0EA9" w:rsidR="002C1CEA" w:rsidRPr="002C1CEA" w:rsidRDefault="002C1CEA" w:rsidP="002C1CEA">
      <w:pPr>
        <w:pStyle w:val="a3"/>
        <w:numPr>
          <w:ilvl w:val="0"/>
          <w:numId w:val="9"/>
        </w:numPr>
        <w:ind w:firstLineChars="0"/>
        <w:rPr>
          <w:rFonts w:ascii="宋体" w:eastAsia="宋体" w:hAnsi="宋体"/>
          <w:szCs w:val="21"/>
        </w:rPr>
      </w:pPr>
      <w:r w:rsidRPr="002C1CEA">
        <w:rPr>
          <w:rFonts w:ascii="宋体" w:eastAsia="宋体" w:hAnsi="宋体" w:hint="eastAsia"/>
          <w:szCs w:val="21"/>
        </w:rPr>
        <w:t>实验记录</w:t>
      </w:r>
    </w:p>
    <w:p w14:paraId="6B6010A2" w14:textId="2F691273" w:rsidR="002C1CEA" w:rsidRPr="002C1CEA" w:rsidRDefault="002C1CEA" w:rsidP="002C1CEA">
      <w:pPr>
        <w:rPr>
          <w:rFonts w:ascii="宋体" w:eastAsia="宋体" w:hAnsi="宋体" w:hint="eastAsia"/>
          <w:szCs w:val="21"/>
        </w:rPr>
      </w:pPr>
      <w:r w:rsidRPr="002C1CEA">
        <w:rPr>
          <w:rFonts w:ascii="宋体" w:eastAsia="宋体" w:hAnsi="宋体" w:hint="eastAsia"/>
          <w:szCs w:val="21"/>
        </w:rPr>
        <w:lastRenderedPageBreak/>
        <w:drawing>
          <wp:inline distT="0" distB="0" distL="0" distR="0" wp14:anchorId="7D6C0366" wp14:editId="5CCBEC19">
            <wp:extent cx="2368550" cy="3158163"/>
            <wp:effectExtent l="0" t="0" r="0" b="4445"/>
            <wp:docPr id="19412807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693" cy="317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33CB497B" wp14:editId="629DDA48">
            <wp:extent cx="2722880" cy="3098800"/>
            <wp:effectExtent l="0" t="0" r="1270" b="6350"/>
            <wp:docPr id="37109791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74" cy="31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18CEBD0B" wp14:editId="2FA83249">
            <wp:extent cx="2996565" cy="2704804"/>
            <wp:effectExtent l="0" t="0" r="0" b="635"/>
            <wp:docPr id="3510581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872" cy="27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4E36FBCD" wp14:editId="6BBC3E20">
            <wp:extent cx="2148840" cy="2780538"/>
            <wp:effectExtent l="0" t="0" r="3810" b="1270"/>
            <wp:docPr id="58877388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513" cy="279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2E66D924" wp14:editId="695B3990">
            <wp:extent cx="2666787" cy="2000250"/>
            <wp:effectExtent l="0" t="0" r="635" b="0"/>
            <wp:docPr id="197962254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179" cy="200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drawing>
          <wp:inline distT="0" distB="0" distL="0" distR="0" wp14:anchorId="3AA5029C" wp14:editId="7EE9C5EE">
            <wp:extent cx="2454289" cy="2025015"/>
            <wp:effectExtent l="0" t="0" r="3175" b="0"/>
            <wp:docPr id="15005311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03" cy="20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1CEA">
        <w:rPr>
          <w:rFonts w:ascii="宋体" w:eastAsia="宋体" w:hAnsi="宋体"/>
          <w:szCs w:val="21"/>
        </w:rPr>
        <w:t xml:space="preserve"> </w:t>
      </w:r>
      <w:r w:rsidRPr="002C1CEA">
        <w:rPr>
          <w:rFonts w:ascii="宋体" w:eastAsia="宋体" w:hAnsi="宋体" w:hint="eastAsia"/>
          <w:szCs w:val="21"/>
        </w:rPr>
        <w:lastRenderedPageBreak/>
        <w:drawing>
          <wp:inline distT="0" distB="0" distL="0" distR="0" wp14:anchorId="6761EDEA" wp14:editId="339BE696">
            <wp:extent cx="2095500" cy="2526529"/>
            <wp:effectExtent l="0" t="0" r="0" b="7620"/>
            <wp:docPr id="1245162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609" cy="255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CEA" w:rsidRPr="002C1CEA" w:rsidSect="003B300B">
      <w:headerReference w:type="default" r:id="rId27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10D5" w14:textId="77777777" w:rsidR="00E83CFC" w:rsidRDefault="00E83CFC" w:rsidP="00CB046D">
      <w:pPr>
        <w:rPr>
          <w:rFonts w:hint="eastAsia"/>
        </w:rPr>
      </w:pPr>
      <w:r>
        <w:separator/>
      </w:r>
    </w:p>
  </w:endnote>
  <w:endnote w:type="continuationSeparator" w:id="0">
    <w:p w14:paraId="29C3E91F" w14:textId="77777777" w:rsidR="00E83CFC" w:rsidRDefault="00E83CFC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B524" w14:textId="77777777" w:rsidR="00E83CFC" w:rsidRDefault="00E83CFC" w:rsidP="00CB046D">
      <w:pPr>
        <w:rPr>
          <w:rFonts w:hint="eastAsia"/>
        </w:rPr>
      </w:pPr>
      <w:r>
        <w:separator/>
      </w:r>
    </w:p>
  </w:footnote>
  <w:footnote w:type="continuationSeparator" w:id="0">
    <w:p w14:paraId="316184BB" w14:textId="77777777" w:rsidR="00E83CFC" w:rsidRDefault="00E83CFC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BF4A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7F6"/>
    <w:multiLevelType w:val="multilevel"/>
    <w:tmpl w:val="B73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76AB1"/>
    <w:multiLevelType w:val="multilevel"/>
    <w:tmpl w:val="C472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4A5F6D31"/>
    <w:multiLevelType w:val="hybridMultilevel"/>
    <w:tmpl w:val="D7A0C07C"/>
    <w:lvl w:ilvl="0" w:tplc="712AEA36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646B1A"/>
    <w:multiLevelType w:val="hybridMultilevel"/>
    <w:tmpl w:val="79C6243C"/>
    <w:lvl w:ilvl="0" w:tplc="3EEE96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999545">
    <w:abstractNumId w:val="5"/>
  </w:num>
  <w:num w:numId="2" w16cid:durableId="1767387608">
    <w:abstractNumId w:val="3"/>
  </w:num>
  <w:num w:numId="3" w16cid:durableId="380128569">
    <w:abstractNumId w:val="4"/>
  </w:num>
  <w:num w:numId="4" w16cid:durableId="8988223">
    <w:abstractNumId w:val="2"/>
  </w:num>
  <w:num w:numId="5" w16cid:durableId="416945086">
    <w:abstractNumId w:val="6"/>
  </w:num>
  <w:num w:numId="6" w16cid:durableId="1481530981">
    <w:abstractNumId w:val="0"/>
  </w:num>
  <w:num w:numId="7" w16cid:durableId="1825657800">
    <w:abstractNumId w:val="1"/>
  </w:num>
  <w:num w:numId="8" w16cid:durableId="1149127716">
    <w:abstractNumId w:val="7"/>
  </w:num>
  <w:num w:numId="9" w16cid:durableId="1145199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C7322"/>
    <w:rsid w:val="000D6CAE"/>
    <w:rsid w:val="00106048"/>
    <w:rsid w:val="00197B48"/>
    <w:rsid w:val="001B4AD7"/>
    <w:rsid w:val="002043DD"/>
    <w:rsid w:val="002327A4"/>
    <w:rsid w:val="00266ABE"/>
    <w:rsid w:val="00267ABC"/>
    <w:rsid w:val="002C1CEA"/>
    <w:rsid w:val="002D2E0E"/>
    <w:rsid w:val="00366D01"/>
    <w:rsid w:val="00374162"/>
    <w:rsid w:val="00395687"/>
    <w:rsid w:val="003B300B"/>
    <w:rsid w:val="003B6B08"/>
    <w:rsid w:val="003B76E6"/>
    <w:rsid w:val="003C1E4F"/>
    <w:rsid w:val="003C7A14"/>
    <w:rsid w:val="004101F1"/>
    <w:rsid w:val="00417A92"/>
    <w:rsid w:val="00452924"/>
    <w:rsid w:val="00490C91"/>
    <w:rsid w:val="004B569B"/>
    <w:rsid w:val="004B7E1E"/>
    <w:rsid w:val="004E5BF5"/>
    <w:rsid w:val="00507A23"/>
    <w:rsid w:val="005332E8"/>
    <w:rsid w:val="0057059A"/>
    <w:rsid w:val="005D2A3D"/>
    <w:rsid w:val="005D40DF"/>
    <w:rsid w:val="006040E9"/>
    <w:rsid w:val="006124C5"/>
    <w:rsid w:val="00620FCF"/>
    <w:rsid w:val="006D07DB"/>
    <w:rsid w:val="006E7CA8"/>
    <w:rsid w:val="00740B8D"/>
    <w:rsid w:val="00741193"/>
    <w:rsid w:val="007416A8"/>
    <w:rsid w:val="00793A3E"/>
    <w:rsid w:val="007A1709"/>
    <w:rsid w:val="007B42B5"/>
    <w:rsid w:val="007D358C"/>
    <w:rsid w:val="0082709F"/>
    <w:rsid w:val="00832909"/>
    <w:rsid w:val="00833111"/>
    <w:rsid w:val="00837F90"/>
    <w:rsid w:val="00843E28"/>
    <w:rsid w:val="008C031F"/>
    <w:rsid w:val="008D0B90"/>
    <w:rsid w:val="008E6863"/>
    <w:rsid w:val="008F4851"/>
    <w:rsid w:val="0095750A"/>
    <w:rsid w:val="00982227"/>
    <w:rsid w:val="009926A4"/>
    <w:rsid w:val="009A0680"/>
    <w:rsid w:val="009A7D38"/>
    <w:rsid w:val="00A46C92"/>
    <w:rsid w:val="00A70413"/>
    <w:rsid w:val="00A71C30"/>
    <w:rsid w:val="00AB2677"/>
    <w:rsid w:val="00AD677C"/>
    <w:rsid w:val="00AE2F77"/>
    <w:rsid w:val="00B0195F"/>
    <w:rsid w:val="00B13940"/>
    <w:rsid w:val="00B17A71"/>
    <w:rsid w:val="00B500A8"/>
    <w:rsid w:val="00BB3BFC"/>
    <w:rsid w:val="00C10CCD"/>
    <w:rsid w:val="00C17526"/>
    <w:rsid w:val="00C678EA"/>
    <w:rsid w:val="00C67E2D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A363A"/>
    <w:rsid w:val="00DC42C4"/>
    <w:rsid w:val="00DF3C2C"/>
    <w:rsid w:val="00DF520C"/>
    <w:rsid w:val="00E83CFC"/>
    <w:rsid w:val="00EA3AA0"/>
    <w:rsid w:val="00EA49E2"/>
    <w:rsid w:val="00EB2F95"/>
    <w:rsid w:val="00EC7624"/>
    <w:rsid w:val="00ED72D7"/>
    <w:rsid w:val="00F00155"/>
    <w:rsid w:val="00F047B6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FFE8C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E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3C1E4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8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4</cp:revision>
  <dcterms:created xsi:type="dcterms:W3CDTF">2025-11-10T15:24:00Z</dcterms:created>
  <dcterms:modified xsi:type="dcterms:W3CDTF">2025-11-15T06:00:00Z</dcterms:modified>
</cp:coreProperties>
</file>