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4E79"/>
          <w:sz w:val="60"/>
        </w:rPr>
        <w:t>AdGenie</w:t>
      </w:r>
    </w:p>
    <w:p>
      <w:pPr>
        <w:jc w:val="center"/>
      </w:pPr>
      <w:r>
        <w:rPr>
          <w:b/>
          <w:sz w:val="44"/>
        </w:rPr>
        <w:t>Seminar 1 Report</w:t>
      </w:r>
    </w:p>
    <w:p>
      <w:pPr>
        <w:jc w:val="center"/>
      </w:pPr>
      <w:r>
        <w:rPr>
          <w:sz w:val="30"/>
        </w:rPr>
        <w:t>A Multi-Agent System for Generating and Evaluating Advertising Campaign Plans Using RAG</w:t>
      </w:r>
    </w:p>
    <w:p/>
    <w:p>
      <w:pPr>
        <w:jc w:val="center"/>
      </w:pPr>
      <w:r>
        <w:rPr>
          <w:sz w:val="24"/>
        </w:rPr>
        <w:t>Prepared by: Layla Mehbani and Nancy Nazzal</w:t>
      </w:r>
    </w:p>
    <w:p>
      <w:pPr>
        <w:jc w:val="center"/>
      </w:pPr>
      <w:r>
        <w:rPr>
          <w:sz w:val="20"/>
        </w:rPr>
        <w:t>Problem framing, literature review, dataset analysis, and proposed system design</w:t>
      </w:r>
    </w:p>
    <w:p>
      <w:r>
        <w:br w:type="page"/>
      </w:r>
    </w:p>
    <w:p>
      <w:pPr>
        <w:pStyle w:val="Heading1"/>
      </w:pPr>
      <w:r>
        <w:t>Abstract</w:t>
      </w:r>
    </w:p>
    <w:p>
      <w:pPr>
        <w:spacing w:after="100"/>
        <w:jc w:val="both"/>
      </w:pPr>
      <w:r>
        <w:t>AdGenie aims to support small businesses, online stores, and social-media managers in preparing structured social-media campaign plans. Given a product or service description, target audience, platform, language, campaign objective, and duration, the system is intended to produce more than a single advertisement: it should propose a campaign strategy, content pillars, a publishing calendar, post and story ideas, calls to action (CTAs), and relevant hashtags where appropriate.</w:t>
      </w:r>
    </w:p>
    <w:p>
      <w:pPr>
        <w:spacing w:after="100"/>
        <w:jc w:val="both"/>
      </w:pPr>
      <w:r>
        <w:t>The proposed approach combines language-model generation with retrieval-augmented generation (RAG) and a multi-agent review workflow. Three system variants are planned for comparison: direct generation, generation with retrieval, and retrieval followed by agent-based review and refinement. This report documents the problem framing, related work, an initial audit of the selected dataset, and the proposed experimental design. It does not claim final experimental results because the planned experiments have not yet been conducted.</w:t>
      </w:r>
    </w:p>
    <w:p>
      <w:pPr>
        <w:pStyle w:val="Heading1"/>
      </w:pPr>
      <w:r>
        <w:t>1. Introduction</w:t>
      </w:r>
    </w:p>
    <w:p>
      <w:pPr>
        <w:spacing w:after="100"/>
        <w:jc w:val="both"/>
      </w:pPr>
      <w:r>
        <w:t>Social-media campaign planning involves more than writing an engaging advertisement. It requires understanding the intended audience and objective, organizing content themes, distributing posts and stories across a time period, and keeping messages consistent with the product information supplied by the client. A language model may produce fluent content while still missing constraints, creating unsupported product claims, or returning a plan that is not practical to publish.</w:t>
      </w:r>
    </w:p>
    <w:p>
      <w:pPr>
        <w:spacing w:after="100"/>
        <w:jc w:val="both"/>
      </w:pPr>
      <w:r>
        <w:t>AdGenie addresses this problem by proposing a structured workflow that retrieves relevant examples, generates a campaign plan, and then checks and improves the plan before presenting the final output.</w:t>
      </w:r>
    </w:p>
    <w:p>
      <w:pPr>
        <w:pStyle w:val="Heading1"/>
      </w:pPr>
      <w:r>
        <w:t>2. Problem Framing (Framing Card)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FE2F3"/>
          </w:tcPr>
          <w:p>
            <w:pPr>
              <w:spacing w:after="20"/>
              <w:jc w:val="left"/>
            </w:pPr>
            <w:r/>
            <w:r>
              <w:rPr>
                <w:rFonts w:ascii="Arial" w:hAnsi="Arial"/>
                <w:b/>
                <w:sz w:val="17"/>
              </w:rPr>
              <w:t>Element</w:t>
            </w:r>
          </w:p>
        </w:tc>
        <w:tc>
          <w:tcPr>
            <w:tcW w:type="dxa" w:w="5112"/>
            <w:vAlign w:val="center"/>
            <w:shd w:fill="CFE2F3"/>
          </w:tcPr>
          <w:p>
            <w:pPr>
              <w:spacing w:after="20"/>
              <w:jc w:val="left"/>
            </w:pPr>
            <w:r/>
            <w:r>
              <w:rPr>
                <w:rFonts w:ascii="Arial" w:hAnsi="Arial"/>
                <w:b/>
                <w:sz w:val="17"/>
              </w:rPr>
              <w:t>Proposed definition</w:t>
            </w:r>
          </w:p>
        </w:tc>
      </w:tr>
      <w:tr>
        <w:tc>
          <w:tcPr>
            <w:tcW w:type="dxa" w:w="5112"/>
            <w:vAlign w:val="center"/>
          </w:tcPr>
          <w:p>
            <w:pPr>
              <w:spacing w:after="20"/>
              <w:jc w:val="left"/>
            </w:pPr>
            <w:r/>
            <w:r>
              <w:rPr>
                <w:rFonts w:ascii="Arial" w:hAnsi="Arial"/>
                <w:b w:val="0"/>
                <w:sz w:val="17"/>
              </w:rPr>
              <w:t>Task type</w:t>
            </w:r>
          </w:p>
        </w:tc>
        <w:tc>
          <w:tcPr>
            <w:tcW w:type="dxa" w:w="5112"/>
            <w:vAlign w:val="center"/>
          </w:tcPr>
          <w:p>
            <w:pPr>
              <w:spacing w:after="20"/>
              <w:jc w:val="left"/>
            </w:pPr>
            <w:r/>
            <w:r>
              <w:rPr>
                <w:rFonts w:ascii="Arial" w:hAnsi="Arial"/>
                <w:b w:val="0"/>
                <w:sz w:val="17"/>
              </w:rPr>
              <w:t>Campaign-plan and marketing-content generation supported by retrieval and a multi-agent workflow.</w:t>
            </w:r>
          </w:p>
        </w:tc>
      </w:tr>
      <w:tr>
        <w:tc>
          <w:tcPr>
            <w:tcW w:type="dxa" w:w="5112"/>
            <w:vAlign w:val="center"/>
          </w:tcPr>
          <w:p>
            <w:pPr>
              <w:spacing w:after="20"/>
              <w:jc w:val="left"/>
            </w:pPr>
            <w:r/>
            <w:r>
              <w:rPr>
                <w:rFonts w:ascii="Arial" w:hAnsi="Arial"/>
                <w:b w:val="0"/>
                <w:sz w:val="17"/>
              </w:rPr>
              <w:t>Input → Output</w:t>
            </w:r>
          </w:p>
        </w:tc>
        <w:tc>
          <w:tcPr>
            <w:tcW w:type="dxa" w:w="5112"/>
            <w:vAlign w:val="center"/>
          </w:tcPr>
          <w:p>
            <w:pPr>
              <w:spacing w:after="20"/>
              <w:jc w:val="left"/>
            </w:pPr>
            <w:r/>
            <w:r>
              <w:rPr>
                <w:rFonts w:ascii="Arial" w:hAnsi="Arial"/>
                <w:b w:val="0"/>
                <w:sz w:val="17"/>
              </w:rPr>
              <w:t>Input: product/service description, target audience, platform, language, objective, campaign duration, and optional constraints. Output: campaign strategy, content pillars, publishing calendar, post/story drafts, CTAs, and suggested hashtags.</w:t>
            </w:r>
          </w:p>
        </w:tc>
      </w:tr>
      <w:tr>
        <w:tc>
          <w:tcPr>
            <w:tcW w:type="dxa" w:w="5112"/>
            <w:vAlign w:val="center"/>
          </w:tcPr>
          <w:p>
            <w:pPr>
              <w:spacing w:after="20"/>
              <w:jc w:val="left"/>
            </w:pPr>
            <w:r/>
            <w:r>
              <w:rPr>
                <w:rFonts w:ascii="Arial" w:hAnsi="Arial"/>
                <w:b w:val="0"/>
                <w:sz w:val="17"/>
              </w:rPr>
              <w:t>Users &amp; affected parties</w:t>
            </w:r>
          </w:p>
        </w:tc>
        <w:tc>
          <w:tcPr>
            <w:tcW w:type="dxa" w:w="5112"/>
            <w:vAlign w:val="center"/>
          </w:tcPr>
          <w:p>
            <w:pPr>
              <w:spacing w:after="20"/>
              <w:jc w:val="left"/>
            </w:pPr>
            <w:r/>
            <w:r>
              <w:rPr>
                <w:rFonts w:ascii="Arial" w:hAnsi="Arial"/>
                <w:b w:val="0"/>
                <w:sz w:val="17"/>
              </w:rPr>
              <w:t>Small-business owners, online retailers, and social-media managers; also the audiences who receive the generated content.</w:t>
            </w:r>
          </w:p>
        </w:tc>
      </w:tr>
      <w:tr>
        <w:tc>
          <w:tcPr>
            <w:tcW w:type="dxa" w:w="5112"/>
            <w:vAlign w:val="center"/>
          </w:tcPr>
          <w:p>
            <w:pPr>
              <w:spacing w:after="20"/>
              <w:jc w:val="left"/>
            </w:pPr>
            <w:r/>
            <w:r>
              <w:rPr>
                <w:rFonts w:ascii="Arial" w:hAnsi="Arial"/>
                <w:b w:val="0"/>
                <w:sz w:val="17"/>
              </w:rPr>
              <w:t>Costlier error</w:t>
            </w:r>
          </w:p>
        </w:tc>
        <w:tc>
          <w:tcPr>
            <w:tcW w:type="dxa" w:w="5112"/>
            <w:vAlign w:val="center"/>
          </w:tcPr>
          <w:p>
            <w:pPr>
              <w:spacing w:after="20"/>
              <w:jc w:val="left"/>
            </w:pPr>
            <w:r/>
            <w:r>
              <w:rPr>
                <w:rFonts w:ascii="Arial" w:hAnsi="Arial"/>
                <w:b w:val="0"/>
                <w:sz w:val="17"/>
              </w:rPr>
              <w:t>Invented or misleading product claims that damage trust; failure to follow the client brief can also make the plan unusable.</w:t>
            </w:r>
          </w:p>
        </w:tc>
      </w:tr>
      <w:tr>
        <w:tc>
          <w:tcPr>
            <w:tcW w:type="dxa" w:w="5112"/>
            <w:vAlign w:val="center"/>
          </w:tcPr>
          <w:p>
            <w:pPr>
              <w:spacing w:after="20"/>
              <w:jc w:val="left"/>
            </w:pPr>
            <w:r/>
            <w:r>
              <w:rPr>
                <w:rFonts w:ascii="Arial" w:hAnsi="Arial"/>
                <w:b w:val="0"/>
                <w:sz w:val="17"/>
              </w:rPr>
              <w:t>Metric + threshold</w:t>
            </w:r>
          </w:p>
        </w:tc>
        <w:tc>
          <w:tcPr>
            <w:tcW w:type="dxa" w:w="5112"/>
            <w:vAlign w:val="center"/>
          </w:tcPr>
          <w:p>
            <w:pPr>
              <w:spacing w:after="20"/>
              <w:jc w:val="left"/>
            </w:pPr>
            <w:r/>
            <w:r>
              <w:rPr>
                <w:rFonts w:ascii="Arial" w:hAnsi="Arial"/>
                <w:b w:val="0"/>
                <w:sz w:val="17"/>
              </w:rPr>
              <w:t>Initial target: full compliance with the brief in at least 90% of cases (27/30), and mean human quality rating of at least 4/5. These are proposed targets, not measured results.</w:t>
            </w:r>
          </w:p>
        </w:tc>
      </w:tr>
      <w:tr>
        <w:tc>
          <w:tcPr>
            <w:tcW w:type="dxa" w:w="5112"/>
            <w:vAlign w:val="center"/>
          </w:tcPr>
          <w:p>
            <w:pPr>
              <w:spacing w:after="20"/>
              <w:jc w:val="left"/>
            </w:pPr>
            <w:r/>
            <w:r>
              <w:rPr>
                <w:rFonts w:ascii="Arial" w:hAnsi="Arial"/>
                <w:b w:val="0"/>
                <w:sz w:val="17"/>
              </w:rPr>
              <w:t>Baseline</w:t>
            </w:r>
          </w:p>
        </w:tc>
        <w:tc>
          <w:tcPr>
            <w:tcW w:type="dxa" w:w="5112"/>
            <w:vAlign w:val="center"/>
          </w:tcPr>
          <w:p>
            <w:pPr>
              <w:spacing w:after="20"/>
              <w:jc w:val="left"/>
            </w:pPr>
            <w:r/>
            <w:r>
              <w:rPr>
                <w:rFonts w:ascii="Arial" w:hAnsi="Arial"/>
                <w:b w:val="0"/>
                <w:sz w:val="17"/>
              </w:rPr>
              <w:t>Candidate baseline: Qwen2.5-1.5B-Instruct responding directly to the same brief, without RAG or agent review. The exact model version and settings must be fixed before experiments.</w:t>
            </w:r>
          </w:p>
        </w:tc>
      </w:tr>
      <w:tr>
        <w:tc>
          <w:tcPr>
            <w:tcW w:type="dxa" w:w="5112"/>
            <w:vAlign w:val="center"/>
          </w:tcPr>
          <w:p>
            <w:pPr>
              <w:spacing w:after="20"/>
              <w:jc w:val="left"/>
            </w:pPr>
            <w:r/>
            <w:r>
              <w:rPr>
                <w:rFonts w:ascii="Arial" w:hAnsi="Arial"/>
                <w:b w:val="0"/>
                <w:sz w:val="17"/>
              </w:rPr>
              <w:t>Test-set size</w:t>
            </w:r>
          </w:p>
        </w:tc>
        <w:tc>
          <w:tcPr>
            <w:tcW w:type="dxa" w:w="5112"/>
            <w:vAlign w:val="center"/>
          </w:tcPr>
          <w:p>
            <w:pPr>
              <w:spacing w:after="20"/>
              <w:jc w:val="left"/>
            </w:pPr>
            <w:r/>
            <w:r>
              <w:rPr>
                <w:rFonts w:ascii="Arial" w:hAnsi="Arial"/>
                <w:b w:val="0"/>
                <w:sz w:val="17"/>
              </w:rPr>
              <w:t>Planned set of 30 requests based on 15 scenarios represented in Arabic and English. The same scenarios will be used across system variants; results will be exploratory.</w:t>
            </w:r>
          </w:p>
        </w:tc>
      </w:tr>
    </w:tbl>
    <w:p/>
    <w:p>
      <w:pPr>
        <w:pStyle w:val="Heading1"/>
      </w:pPr>
      <w:r>
        <w:t>3. Project Scope</w:t>
      </w:r>
    </w:p>
    <w:p>
      <w:pPr>
        <w:spacing w:after="100"/>
        <w:jc w:val="both"/>
      </w:pPr>
      <w:r>
        <w:t>The project focuses on campaign planning and content scheduling. It does not currently include advertising-budget allocation, management of paid advertising campaigns, or automatic publishing to social-media accounts. The system will ask the client for essential information and return a structured plan that can be reviewed and edited.</w:t>
      </w:r>
    </w:p>
    <w:p>
      <w:pPr>
        <w:spacing w:after="100"/>
        <w:jc w:val="both"/>
      </w:pPr>
      <w:r>
        <w:t>Expected outputs include: (1) a brief campaign strategy, (2) content pillars, (3) a publishing calendar for the campaign duration, (4) post and story ideas with draft copy, (5) calls to action, and (6) hashtags when relevant. Output details will depend on the platform, audience, and campaign objective.</w:t>
      </w:r>
    </w:p>
    <w:p>
      <w:pPr>
        <w:pStyle w:val="Heading1"/>
      </w:pPr>
      <w:r>
        <w:t>4. Literature Review and Related Work</w:t>
      </w:r>
    </w:p>
    <w:p>
      <w:pPr>
        <w:spacing w:after="100"/>
        <w:jc w:val="both"/>
      </w:pPr>
      <w:r>
        <w:t>The selected works cover complementary aspects of AdGenie: marketing-content generation and evaluation, cross-lingual differences in AI-generated content, the RAG architecture, multilingual text embeddings, and large-language-model-based multi-agent systems. These studies do not all present complete campaign-planning systems; each is used here to support the specific component it investigates.</w:t>
      </w:r>
    </w:p>
    <w:p>
      <w:pPr>
        <w:pStyle w:val="Heading2"/>
      </w:pPr>
      <w:r>
        <w:t>4.1 Research Comparison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CFE2F3"/>
          </w:tcPr>
          <w:p>
            <w:pPr>
              <w:spacing w:after="20"/>
              <w:jc w:val="left"/>
            </w:pPr>
            <w:r/>
            <w:r>
              <w:rPr>
                <w:rFonts w:ascii="Arial" w:hAnsi="Arial"/>
                <w:b/>
                <w:sz w:val="14"/>
              </w:rPr>
              <w:t>Research</w:t>
            </w:r>
          </w:p>
        </w:tc>
        <w:tc>
          <w:tcPr>
            <w:tcW w:type="dxa" w:w="1461"/>
            <w:vAlign w:val="center"/>
            <w:shd w:fill="CFE2F3"/>
          </w:tcPr>
          <w:p>
            <w:pPr>
              <w:spacing w:after="20"/>
              <w:jc w:val="left"/>
            </w:pPr>
            <w:r/>
            <w:r>
              <w:rPr>
                <w:rFonts w:ascii="Arial" w:hAnsi="Arial"/>
                <w:b/>
                <w:sz w:val="14"/>
              </w:rPr>
              <w:t>Input</w:t>
            </w:r>
          </w:p>
        </w:tc>
        <w:tc>
          <w:tcPr>
            <w:tcW w:type="dxa" w:w="1461"/>
            <w:vAlign w:val="center"/>
            <w:shd w:fill="CFE2F3"/>
          </w:tcPr>
          <w:p>
            <w:pPr>
              <w:spacing w:after="20"/>
              <w:jc w:val="left"/>
            </w:pPr>
            <w:r/>
            <w:r>
              <w:rPr>
                <w:rFonts w:ascii="Arial" w:hAnsi="Arial"/>
                <w:b/>
                <w:sz w:val="14"/>
              </w:rPr>
              <w:t>Output</w:t>
            </w:r>
          </w:p>
        </w:tc>
        <w:tc>
          <w:tcPr>
            <w:tcW w:type="dxa" w:w="1461"/>
            <w:vAlign w:val="center"/>
            <w:shd w:fill="CFE2F3"/>
          </w:tcPr>
          <w:p>
            <w:pPr>
              <w:spacing w:after="20"/>
              <w:jc w:val="left"/>
            </w:pPr>
            <w:r/>
            <w:r>
              <w:rPr>
                <w:rFonts w:ascii="Arial" w:hAnsi="Arial"/>
                <w:b/>
                <w:sz w:val="14"/>
              </w:rPr>
              <w:t>Data</w:t>
            </w:r>
          </w:p>
        </w:tc>
        <w:tc>
          <w:tcPr>
            <w:tcW w:type="dxa" w:w="1461"/>
            <w:vAlign w:val="center"/>
            <w:shd w:fill="CFE2F3"/>
          </w:tcPr>
          <w:p>
            <w:pPr>
              <w:spacing w:after="20"/>
              <w:jc w:val="left"/>
            </w:pPr>
            <w:r/>
            <w:r>
              <w:rPr>
                <w:rFonts w:ascii="Arial" w:hAnsi="Arial"/>
                <w:b/>
                <w:sz w:val="14"/>
              </w:rPr>
              <w:t>Embedding</w:t>
            </w:r>
          </w:p>
        </w:tc>
        <w:tc>
          <w:tcPr>
            <w:tcW w:type="dxa" w:w="1461"/>
            <w:vAlign w:val="center"/>
            <w:shd w:fill="CFE2F3"/>
          </w:tcPr>
          <w:p>
            <w:pPr>
              <w:spacing w:after="20"/>
              <w:jc w:val="left"/>
            </w:pPr>
            <w:r/>
            <w:r>
              <w:rPr>
                <w:rFonts w:ascii="Arial" w:hAnsi="Arial"/>
                <w:b/>
                <w:sz w:val="14"/>
              </w:rPr>
              <w:t>Ranker</w:t>
            </w:r>
          </w:p>
        </w:tc>
        <w:tc>
          <w:tcPr>
            <w:tcW w:type="dxa" w:w="1461"/>
            <w:vAlign w:val="center"/>
            <w:shd w:fill="CFE2F3"/>
          </w:tcPr>
          <w:p>
            <w:pPr>
              <w:spacing w:after="20"/>
              <w:jc w:val="left"/>
            </w:pPr>
            <w:r/>
            <w:r>
              <w:rPr>
                <w:rFonts w:ascii="Arial" w:hAnsi="Arial"/>
                <w:b/>
                <w:sz w:val="14"/>
              </w:rPr>
              <w:t>Reranker</w:t>
            </w:r>
          </w:p>
        </w:tc>
      </w:tr>
      <w:tr>
        <w:tc>
          <w:tcPr>
            <w:tcW w:type="dxa" w:w="1461"/>
            <w:vAlign w:val="center"/>
          </w:tcPr>
          <w:p>
            <w:pPr>
              <w:spacing w:after="20"/>
              <w:jc w:val="left"/>
            </w:pPr>
            <w:r/>
            <w:r>
              <w:rPr>
                <w:rFonts w:ascii="Arial" w:hAnsi="Arial"/>
                <w:b w:val="0"/>
                <w:sz w:val="14"/>
              </w:rPr>
              <w:t>MarketingFM (Liu et al., 2025)</w:t>
            </w:r>
          </w:p>
        </w:tc>
        <w:tc>
          <w:tcPr>
            <w:tcW w:type="dxa" w:w="1461"/>
            <w:vAlign w:val="center"/>
          </w:tcPr>
          <w:p>
            <w:pPr>
              <w:spacing w:after="20"/>
              <w:jc w:val="left"/>
            </w:pPr>
            <w:r/>
            <w:r>
              <w:rPr>
                <w:rFonts w:ascii="Arial" w:hAnsi="Arial"/>
                <w:b w:val="0"/>
                <w:sz w:val="14"/>
              </w:rPr>
              <w:t>Search keyword and product/landing-page context</w:t>
            </w:r>
          </w:p>
        </w:tc>
        <w:tc>
          <w:tcPr>
            <w:tcW w:type="dxa" w:w="1461"/>
            <w:vAlign w:val="center"/>
          </w:tcPr>
          <w:p>
            <w:pPr>
              <w:spacing w:after="20"/>
              <w:jc w:val="left"/>
            </w:pPr>
            <w:r/>
            <w:r>
              <w:rPr>
                <w:rFonts w:ascii="Arial" w:hAnsi="Arial"/>
                <w:b w:val="0"/>
                <w:sz w:val="14"/>
              </w:rPr>
              <w:t>Keyword-specific ad headline and description</w:t>
            </w:r>
          </w:p>
        </w:tc>
        <w:tc>
          <w:tcPr>
            <w:tcW w:type="dxa" w:w="1461"/>
            <w:vAlign w:val="center"/>
          </w:tcPr>
          <w:p>
            <w:pPr>
              <w:spacing w:after="20"/>
              <w:jc w:val="left"/>
            </w:pPr>
            <w:r/>
            <w:r>
              <w:rPr>
                <w:rFonts w:ascii="Arial" w:hAnsi="Arial"/>
                <w:b w:val="0"/>
                <w:sz w:val="14"/>
              </w:rPr>
              <w:t>Product catalog and landing-page context; human/automated evaluation and online A/B tests</w:t>
            </w:r>
          </w:p>
        </w:tc>
        <w:tc>
          <w:tcPr>
            <w:tcW w:type="dxa" w:w="1461"/>
            <w:vAlign w:val="center"/>
          </w:tcPr>
          <w:p>
            <w:pPr>
              <w:spacing w:after="20"/>
              <w:jc w:val="left"/>
            </w:pPr>
            <w:r/>
            <w:r>
              <w:rPr>
                <w:rFonts w:ascii="Arial" w:hAnsi="Arial"/>
                <w:b w:val="0"/>
                <w:sz w:val="14"/>
              </w:rPr>
              <w:t>Semantic representations used for relevant product/context retrieval</w:t>
            </w:r>
          </w:p>
        </w:tc>
        <w:tc>
          <w:tcPr>
            <w:tcW w:type="dxa" w:w="1461"/>
            <w:vAlign w:val="center"/>
          </w:tcPr>
          <w:p>
            <w:pPr>
              <w:spacing w:after="20"/>
              <w:jc w:val="left"/>
            </w:pPr>
            <w:r/>
            <w:r>
              <w:rPr>
                <w:rFonts w:ascii="Arial" w:hAnsi="Arial"/>
                <w:b w:val="0"/>
                <w:sz w:val="14"/>
              </w:rPr>
              <w:t>Candidates ranked using similarity scores</w:t>
            </w:r>
          </w:p>
        </w:tc>
        <w:tc>
          <w:tcPr>
            <w:tcW w:type="dxa" w:w="1461"/>
            <w:vAlign w:val="center"/>
          </w:tcPr>
          <w:p>
            <w:pPr>
              <w:spacing w:after="20"/>
              <w:jc w:val="left"/>
            </w:pPr>
            <w:r/>
            <w:r>
              <w:rPr>
                <w:rFonts w:ascii="Arial" w:hAnsi="Arial"/>
                <w:b w:val="0"/>
                <w:sz w:val="14"/>
              </w:rPr>
              <w:t>A distinct second-stage reranker was not identified in the reviewed description</w:t>
            </w:r>
          </w:p>
        </w:tc>
      </w:tr>
      <w:tr>
        <w:tc>
          <w:tcPr>
            <w:tcW w:type="dxa" w:w="1461"/>
            <w:vAlign w:val="center"/>
          </w:tcPr>
          <w:p>
            <w:pPr>
              <w:spacing w:after="20"/>
              <w:jc w:val="left"/>
            </w:pPr>
            <w:r/>
            <w:r>
              <w:rPr>
                <w:rFonts w:ascii="Arial" w:hAnsi="Arial"/>
                <w:b w:val="0"/>
                <w:sz w:val="14"/>
              </w:rPr>
              <w:t>Koo (2025), Cross-lingual effects of AI-generated content</w:t>
            </w:r>
          </w:p>
        </w:tc>
        <w:tc>
          <w:tcPr>
            <w:tcW w:type="dxa" w:w="1461"/>
            <w:vAlign w:val="center"/>
          </w:tcPr>
          <w:p>
            <w:pPr>
              <w:spacing w:after="20"/>
              <w:jc w:val="left"/>
            </w:pPr>
            <w:r/>
            <w:r>
              <w:rPr>
                <w:rFonts w:ascii="Arial" w:hAnsi="Arial"/>
                <w:b w:val="0"/>
                <w:sz w:val="14"/>
              </w:rPr>
              <w:t>Common business issues; responses generated in three languages in Study 1</w:t>
            </w:r>
          </w:p>
        </w:tc>
        <w:tc>
          <w:tcPr>
            <w:tcW w:type="dxa" w:w="1461"/>
            <w:vAlign w:val="center"/>
          </w:tcPr>
          <w:p>
            <w:pPr>
              <w:spacing w:after="20"/>
              <w:jc w:val="left"/>
            </w:pPr>
            <w:r/>
            <w:r>
              <w:rPr>
                <w:rFonts w:ascii="Arial" w:hAnsi="Arial"/>
                <w:b w:val="0"/>
                <w:sz w:val="14"/>
              </w:rPr>
              <w:t>Generated responses and quality ratings; Study 2 examined AI-assisted business-email writing</w:t>
            </w:r>
          </w:p>
        </w:tc>
        <w:tc>
          <w:tcPr>
            <w:tcW w:type="dxa" w:w="1461"/>
            <w:vAlign w:val="center"/>
          </w:tcPr>
          <w:p>
            <w:pPr>
              <w:spacing w:after="20"/>
              <w:jc w:val="left"/>
            </w:pPr>
            <w:r/>
            <w:r>
              <w:rPr>
                <w:rFonts w:ascii="Arial" w:hAnsi="Arial"/>
                <w:b w:val="0"/>
                <w:sz w:val="14"/>
              </w:rPr>
              <w:t>600 responses to 200 business issues in English, Arabic, and Chinese; second study with 480 participants</w:t>
            </w:r>
          </w:p>
        </w:tc>
        <w:tc>
          <w:tcPr>
            <w:tcW w:type="dxa" w:w="1461"/>
            <w:vAlign w:val="center"/>
          </w:tcPr>
          <w:p>
            <w:pPr>
              <w:spacing w:after="20"/>
              <w:jc w:val="left"/>
            </w:pPr>
            <w:r/>
            <w:r>
              <w:rPr>
                <w:rFonts w:ascii="Arial" w:hAnsi="Arial"/>
                <w:b w:val="0"/>
                <w:sz w:val="14"/>
              </w:rPr>
              <w:t>N/A: not a retrieval/embedding study</w:t>
            </w:r>
          </w:p>
        </w:tc>
        <w:tc>
          <w:tcPr>
            <w:tcW w:type="dxa" w:w="1461"/>
            <w:vAlign w:val="center"/>
          </w:tcPr>
          <w:p>
            <w:pPr>
              <w:spacing w:after="20"/>
              <w:jc w:val="left"/>
            </w:pPr>
            <w:r/>
            <w:r>
              <w:rPr>
                <w:rFonts w:ascii="Arial" w:hAnsi="Arial"/>
                <w:b w:val="0"/>
                <w:sz w:val="14"/>
              </w:rPr>
              <w:t>N/A</w:t>
            </w:r>
          </w:p>
        </w:tc>
        <w:tc>
          <w:tcPr>
            <w:tcW w:type="dxa" w:w="1461"/>
            <w:vAlign w:val="center"/>
          </w:tcPr>
          <w:p>
            <w:pPr>
              <w:spacing w:after="20"/>
              <w:jc w:val="left"/>
            </w:pPr>
            <w:r/>
            <w:r>
              <w:rPr>
                <w:rFonts w:ascii="Arial" w:hAnsi="Arial"/>
                <w:b w:val="0"/>
                <w:sz w:val="14"/>
              </w:rPr>
              <w:t>N/A</w:t>
            </w:r>
          </w:p>
        </w:tc>
      </w:tr>
      <w:tr>
        <w:tc>
          <w:tcPr>
            <w:tcW w:type="dxa" w:w="1461"/>
            <w:vAlign w:val="center"/>
          </w:tcPr>
          <w:p>
            <w:pPr>
              <w:spacing w:after="20"/>
              <w:jc w:val="left"/>
            </w:pPr>
            <w:r/>
            <w:r>
              <w:rPr>
                <w:rFonts w:ascii="Arial" w:hAnsi="Arial"/>
                <w:b w:val="0"/>
                <w:sz w:val="14"/>
              </w:rPr>
              <w:t>Lewis et al. (2020), RAG</w:t>
            </w:r>
          </w:p>
        </w:tc>
        <w:tc>
          <w:tcPr>
            <w:tcW w:type="dxa" w:w="1461"/>
            <w:vAlign w:val="center"/>
          </w:tcPr>
          <w:p>
            <w:pPr>
              <w:spacing w:after="20"/>
              <w:jc w:val="left"/>
            </w:pPr>
            <w:r/>
            <w:r>
              <w:rPr>
                <w:rFonts w:ascii="Arial" w:hAnsi="Arial"/>
                <w:b w:val="0"/>
                <w:sz w:val="14"/>
              </w:rPr>
              <w:t>Query and retrieved passages</w:t>
            </w:r>
          </w:p>
        </w:tc>
        <w:tc>
          <w:tcPr>
            <w:tcW w:type="dxa" w:w="1461"/>
            <w:vAlign w:val="center"/>
          </w:tcPr>
          <w:p>
            <w:pPr>
              <w:spacing w:after="20"/>
              <w:jc w:val="left"/>
            </w:pPr>
            <w:r/>
            <w:r>
              <w:rPr>
                <w:rFonts w:ascii="Arial" w:hAnsi="Arial"/>
                <w:b w:val="0"/>
                <w:sz w:val="14"/>
              </w:rPr>
              <w:t>Generated text conditioned on the query and retrieved passages</w:t>
            </w:r>
          </w:p>
        </w:tc>
        <w:tc>
          <w:tcPr>
            <w:tcW w:type="dxa" w:w="1461"/>
            <w:vAlign w:val="center"/>
          </w:tcPr>
          <w:p>
            <w:pPr>
              <w:spacing w:after="20"/>
              <w:jc w:val="left"/>
            </w:pPr>
            <w:r/>
            <w:r>
              <w:rPr>
                <w:rFonts w:ascii="Arial" w:hAnsi="Arial"/>
                <w:b w:val="0"/>
                <w:sz w:val="14"/>
              </w:rPr>
              <w:t>Wikipedia as retrieval source; benchmark datasets for QA, knowledge-intensive tasks, question generation, and fact verification</w:t>
            </w:r>
          </w:p>
        </w:tc>
        <w:tc>
          <w:tcPr>
            <w:tcW w:type="dxa" w:w="1461"/>
            <w:vAlign w:val="center"/>
          </w:tcPr>
          <w:p>
            <w:pPr>
              <w:spacing w:after="20"/>
              <w:jc w:val="left"/>
            </w:pPr>
            <w:r/>
            <w:r>
              <w:rPr>
                <w:rFonts w:ascii="Arial" w:hAnsi="Arial"/>
                <w:b w:val="0"/>
                <w:sz w:val="14"/>
              </w:rPr>
              <w:t>Dense Passage Retriever (DPR) query and passage encoders</w:t>
            </w:r>
          </w:p>
        </w:tc>
        <w:tc>
          <w:tcPr>
            <w:tcW w:type="dxa" w:w="1461"/>
            <w:vAlign w:val="center"/>
          </w:tcPr>
          <w:p>
            <w:pPr>
              <w:spacing w:after="20"/>
              <w:jc w:val="left"/>
            </w:pPr>
            <w:r/>
            <w:r>
              <w:rPr>
                <w:rFonts w:ascii="Arial" w:hAnsi="Arial"/>
                <w:b w:val="0"/>
                <w:sz w:val="14"/>
              </w:rPr>
              <w:t>Dense retrieval of top passages by similarity</w:t>
            </w:r>
          </w:p>
        </w:tc>
        <w:tc>
          <w:tcPr>
            <w:tcW w:type="dxa" w:w="1461"/>
            <w:vAlign w:val="center"/>
          </w:tcPr>
          <w:p>
            <w:pPr>
              <w:spacing w:after="20"/>
              <w:jc w:val="left"/>
            </w:pPr>
            <w:r/>
            <w:r>
              <w:rPr>
                <w:rFonts w:ascii="Arial" w:hAnsi="Arial"/>
                <w:b w:val="0"/>
                <w:sz w:val="14"/>
              </w:rPr>
              <w:t>The original architecture does not specify a separate second-stage reranker</w:t>
            </w:r>
          </w:p>
        </w:tc>
      </w:tr>
      <w:tr>
        <w:tc>
          <w:tcPr>
            <w:tcW w:type="dxa" w:w="1461"/>
            <w:vAlign w:val="center"/>
          </w:tcPr>
          <w:p>
            <w:pPr>
              <w:spacing w:after="20"/>
              <w:jc w:val="left"/>
            </w:pPr>
            <w:r/>
            <w:r>
              <w:rPr>
                <w:rFonts w:ascii="Arial" w:hAnsi="Arial"/>
                <w:b w:val="0"/>
                <w:sz w:val="14"/>
              </w:rPr>
              <w:t>Wang et al. (2024), Multilingual E5</w:t>
            </w:r>
          </w:p>
        </w:tc>
        <w:tc>
          <w:tcPr>
            <w:tcW w:type="dxa" w:w="1461"/>
            <w:vAlign w:val="center"/>
          </w:tcPr>
          <w:p>
            <w:pPr>
              <w:spacing w:after="20"/>
              <w:jc w:val="left"/>
            </w:pPr>
            <w:r/>
            <w:r>
              <w:rPr>
                <w:rFonts w:ascii="Arial" w:hAnsi="Arial"/>
                <w:b w:val="0"/>
                <w:sz w:val="14"/>
              </w:rPr>
              <w:t>Text/query encoded as a vector</w:t>
            </w:r>
          </w:p>
        </w:tc>
        <w:tc>
          <w:tcPr>
            <w:tcW w:type="dxa" w:w="1461"/>
            <w:vAlign w:val="center"/>
          </w:tcPr>
          <w:p>
            <w:pPr>
              <w:spacing w:after="20"/>
              <w:jc w:val="left"/>
            </w:pPr>
            <w:r/>
            <w:r>
              <w:rPr>
                <w:rFonts w:ascii="Arial" w:hAnsi="Arial"/>
                <w:b w:val="0"/>
                <w:sz w:val="14"/>
              </w:rPr>
              <w:t>Multilingual embeddings for semantic retrieval and related tasks</w:t>
            </w:r>
          </w:p>
        </w:tc>
        <w:tc>
          <w:tcPr>
            <w:tcW w:type="dxa" w:w="1461"/>
            <w:vAlign w:val="center"/>
          </w:tcPr>
          <w:p>
            <w:pPr>
              <w:spacing w:after="20"/>
              <w:jc w:val="left"/>
            </w:pPr>
            <w:r/>
            <w:r>
              <w:rPr>
                <w:rFonts w:ascii="Arial" w:hAnsi="Arial"/>
                <w:b w:val="0"/>
                <w:sz w:val="14"/>
              </w:rPr>
              <w:t>About one billion multilingual text pairs; supervised fine-tuning on about 1.6 million examples; multilingual benchmarks</w:t>
            </w:r>
          </w:p>
        </w:tc>
        <w:tc>
          <w:tcPr>
            <w:tcW w:type="dxa" w:w="1461"/>
            <w:vAlign w:val="center"/>
          </w:tcPr>
          <w:p>
            <w:pPr>
              <w:spacing w:after="20"/>
              <w:jc w:val="left"/>
            </w:pPr>
            <w:r/>
            <w:r>
              <w:rPr>
                <w:rFonts w:ascii="Arial" w:hAnsi="Arial"/>
                <w:b w:val="0"/>
                <w:sz w:val="14"/>
              </w:rPr>
              <w:t>Multilingual E5 model family</w:t>
            </w:r>
          </w:p>
        </w:tc>
        <w:tc>
          <w:tcPr>
            <w:tcW w:type="dxa" w:w="1461"/>
            <w:vAlign w:val="center"/>
          </w:tcPr>
          <w:p>
            <w:pPr>
              <w:spacing w:after="20"/>
              <w:jc w:val="left"/>
            </w:pPr>
            <w:r/>
            <w:r>
              <w:rPr>
                <w:rFonts w:ascii="Arial" w:hAnsi="Arial"/>
                <w:b w:val="0"/>
                <w:sz w:val="14"/>
              </w:rPr>
              <w:t>Similarity-based ranking in retrieval evaluations</w:t>
            </w:r>
          </w:p>
        </w:tc>
        <w:tc>
          <w:tcPr>
            <w:tcW w:type="dxa" w:w="1461"/>
            <w:vAlign w:val="center"/>
          </w:tcPr>
          <w:p>
            <w:pPr>
              <w:spacing w:after="20"/>
              <w:jc w:val="left"/>
            </w:pPr>
            <w:r/>
            <w:r>
              <w:rPr>
                <w:rFonts w:ascii="Arial" w:hAnsi="Arial"/>
                <w:b w:val="0"/>
                <w:sz w:val="14"/>
              </w:rPr>
              <w:t>A cross-encoder is used as a training/distillation teacher; this does not imply an online reranker in every system</w:t>
            </w:r>
          </w:p>
        </w:tc>
      </w:tr>
      <w:tr>
        <w:tc>
          <w:tcPr>
            <w:tcW w:type="dxa" w:w="1461"/>
            <w:vAlign w:val="center"/>
          </w:tcPr>
          <w:p>
            <w:pPr>
              <w:spacing w:after="20"/>
              <w:jc w:val="left"/>
            </w:pPr>
            <w:r/>
            <w:r>
              <w:rPr>
                <w:rFonts w:ascii="Arial" w:hAnsi="Arial"/>
                <w:b w:val="0"/>
                <w:sz w:val="14"/>
              </w:rPr>
              <w:t>Li et al. (2024), Multi-agent systems survey</w:t>
            </w:r>
          </w:p>
        </w:tc>
        <w:tc>
          <w:tcPr>
            <w:tcW w:type="dxa" w:w="1461"/>
            <w:vAlign w:val="center"/>
          </w:tcPr>
          <w:p>
            <w:pPr>
              <w:spacing w:after="20"/>
              <w:jc w:val="left"/>
            </w:pPr>
            <w:r/>
            <w:r>
              <w:rPr>
                <w:rFonts w:ascii="Arial" w:hAnsi="Arial"/>
                <w:b w:val="0"/>
                <w:sz w:val="14"/>
              </w:rPr>
              <w:t>Published literature and existing multi-agent systems</w:t>
            </w:r>
          </w:p>
        </w:tc>
        <w:tc>
          <w:tcPr>
            <w:tcW w:type="dxa" w:w="1461"/>
            <w:vAlign w:val="center"/>
          </w:tcPr>
          <w:p>
            <w:pPr>
              <w:spacing w:after="20"/>
              <w:jc w:val="left"/>
            </w:pPr>
            <w:r/>
            <w:r>
              <w:rPr>
                <w:rFonts w:ascii="Arial" w:hAnsi="Arial"/>
                <w:b w:val="0"/>
                <w:sz w:val="14"/>
              </w:rPr>
              <w:t>Survey and classification of workflows, infrastructure, challenges, and applications</w:t>
            </w:r>
          </w:p>
        </w:tc>
        <w:tc>
          <w:tcPr>
            <w:tcW w:type="dxa" w:w="1461"/>
            <w:vAlign w:val="center"/>
          </w:tcPr>
          <w:p>
            <w:pPr>
              <w:spacing w:after="20"/>
              <w:jc w:val="left"/>
            </w:pPr>
            <w:r/>
            <w:r>
              <w:rPr>
                <w:rFonts w:ascii="Arial" w:hAnsi="Arial"/>
                <w:b w:val="0"/>
                <w:sz w:val="14"/>
              </w:rPr>
              <w:t>Literature review rather than one task-specific dataset</w:t>
            </w:r>
          </w:p>
        </w:tc>
        <w:tc>
          <w:tcPr>
            <w:tcW w:type="dxa" w:w="1461"/>
            <w:vAlign w:val="center"/>
          </w:tcPr>
          <w:p>
            <w:pPr>
              <w:spacing w:after="20"/>
              <w:jc w:val="left"/>
            </w:pPr>
            <w:r/>
            <w:r>
              <w:rPr>
                <w:rFonts w:ascii="Arial" w:hAnsi="Arial"/>
                <w:b w:val="0"/>
                <w:sz w:val="14"/>
              </w:rPr>
              <w:t>N/A</w:t>
            </w:r>
          </w:p>
        </w:tc>
        <w:tc>
          <w:tcPr>
            <w:tcW w:type="dxa" w:w="1461"/>
            <w:vAlign w:val="center"/>
          </w:tcPr>
          <w:p>
            <w:pPr>
              <w:spacing w:after="20"/>
              <w:jc w:val="left"/>
            </w:pPr>
            <w:r/>
            <w:r>
              <w:rPr>
                <w:rFonts w:ascii="Arial" w:hAnsi="Arial"/>
                <w:b w:val="0"/>
                <w:sz w:val="14"/>
              </w:rPr>
              <w:t>N/A</w:t>
            </w:r>
          </w:p>
        </w:tc>
        <w:tc>
          <w:tcPr>
            <w:tcW w:type="dxa" w:w="1461"/>
            <w:vAlign w:val="center"/>
          </w:tcPr>
          <w:p>
            <w:pPr>
              <w:spacing w:after="20"/>
              <w:jc w:val="left"/>
            </w:pPr>
            <w:r/>
            <w:r>
              <w:rPr>
                <w:rFonts w:ascii="Arial" w:hAnsi="Arial"/>
                <w:b w:val="0"/>
                <w:sz w:val="14"/>
              </w:rPr>
              <w:t>N/A</w:t>
            </w:r>
          </w:p>
        </w:tc>
      </w:tr>
    </w:tbl>
    <w:p/>
    <w:p>
      <w:pPr>
        <w:pStyle w:val="Heading2"/>
      </w:pPr>
      <w:r>
        <w:t>4.2 Literature Synthesis</w:t>
      </w:r>
    </w:p>
    <w:p>
      <w:pPr>
        <w:spacing w:after="100"/>
        <w:jc w:val="both"/>
      </w:pPr>
      <w:r>
        <w:t>MarketingFM illustrates how advertising generation can be conditioned on product context and evaluated through human, automated, and online measures. Koo’s cross-lingual study highlights that output quality and the effects of AI assistance may differ by language, motivating separate evaluation in Arabic and English rather than assuming equal performance.</w:t>
      </w:r>
    </w:p>
    <w:p>
      <w:pPr>
        <w:spacing w:after="100"/>
        <w:jc w:val="both"/>
      </w:pPr>
      <w:r>
        <w:t>Lewis et al. provide the foundational RAG approach, in which retrieval supplies passages that condition generation. The Multilingual E5 report supports considering multilingual embeddings for retrieval across Arabic and English. Li et al. provide a broader framework for thinking about multi-agent workflows. These papers do not, by themselves, establish that a particular combination of tools is optimal for AdGenie; that question requires experiments.</w:t>
      </w:r>
    </w:p>
    <w:p>
      <w:pPr>
        <w:pStyle w:val="Heading2"/>
      </w:pPr>
      <w:r>
        <w:t>4.3 Coverage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CFE2F3"/>
          </w:tcPr>
          <w:p>
            <w:pPr>
              <w:spacing w:after="20"/>
              <w:jc w:val="left"/>
            </w:pPr>
            <w:r/>
            <w:r>
              <w:rPr>
                <w:rFonts w:ascii="Arial" w:hAnsi="Arial"/>
                <w:b/>
                <w:sz w:val="15"/>
              </w:rPr>
              <w:t>Study</w:t>
            </w:r>
          </w:p>
        </w:tc>
        <w:tc>
          <w:tcPr>
            <w:tcW w:type="dxa" w:w="1704"/>
            <w:vAlign w:val="center"/>
            <w:shd w:fill="CFE2F3"/>
          </w:tcPr>
          <w:p>
            <w:pPr>
              <w:spacing w:after="20"/>
              <w:jc w:val="left"/>
            </w:pPr>
            <w:r/>
            <w:r>
              <w:rPr>
                <w:rFonts w:ascii="Arial" w:hAnsi="Arial"/>
                <w:b/>
                <w:sz w:val="15"/>
              </w:rPr>
              <w:t>Marketing generation</w:t>
            </w:r>
          </w:p>
        </w:tc>
        <w:tc>
          <w:tcPr>
            <w:tcW w:type="dxa" w:w="1704"/>
            <w:vAlign w:val="center"/>
            <w:shd w:fill="CFE2F3"/>
          </w:tcPr>
          <w:p>
            <w:pPr>
              <w:spacing w:after="20"/>
              <w:jc w:val="left"/>
            </w:pPr>
            <w:r/>
            <w:r>
              <w:rPr>
                <w:rFonts w:ascii="Arial" w:hAnsi="Arial"/>
                <w:b/>
                <w:sz w:val="15"/>
              </w:rPr>
              <w:t>RAG/retrieval</w:t>
            </w:r>
          </w:p>
        </w:tc>
        <w:tc>
          <w:tcPr>
            <w:tcW w:type="dxa" w:w="1704"/>
            <w:vAlign w:val="center"/>
            <w:shd w:fill="CFE2F3"/>
          </w:tcPr>
          <w:p>
            <w:pPr>
              <w:spacing w:after="20"/>
              <w:jc w:val="left"/>
            </w:pPr>
            <w:r/>
            <w:r>
              <w:rPr>
                <w:rFonts w:ascii="Arial" w:hAnsi="Arial"/>
                <w:b/>
                <w:sz w:val="15"/>
              </w:rPr>
              <w:t>Multilingual embeddings</w:t>
            </w:r>
          </w:p>
        </w:tc>
        <w:tc>
          <w:tcPr>
            <w:tcW w:type="dxa" w:w="1704"/>
            <w:vAlign w:val="center"/>
            <w:shd w:fill="CFE2F3"/>
          </w:tcPr>
          <w:p>
            <w:pPr>
              <w:spacing w:after="20"/>
              <w:jc w:val="left"/>
            </w:pPr>
            <w:r/>
            <w:r>
              <w:rPr>
                <w:rFonts w:ascii="Arial" w:hAnsi="Arial"/>
                <w:b/>
                <w:sz w:val="15"/>
              </w:rPr>
              <w:t>Multi-agent systems</w:t>
            </w:r>
          </w:p>
        </w:tc>
        <w:tc>
          <w:tcPr>
            <w:tcW w:type="dxa" w:w="1704"/>
            <w:vAlign w:val="center"/>
            <w:shd w:fill="CFE2F3"/>
          </w:tcPr>
          <w:p>
            <w:pPr>
              <w:spacing w:after="20"/>
              <w:jc w:val="left"/>
            </w:pPr>
            <w:r/>
            <w:r>
              <w:rPr>
                <w:rFonts w:ascii="Arial" w:hAnsi="Arial"/>
                <w:b/>
                <w:sz w:val="15"/>
              </w:rPr>
              <w:t>Evaluation/impact</w:t>
            </w:r>
          </w:p>
        </w:tc>
      </w:tr>
      <w:tr>
        <w:tc>
          <w:tcPr>
            <w:tcW w:type="dxa" w:w="1704"/>
            <w:vAlign w:val="center"/>
          </w:tcPr>
          <w:p>
            <w:pPr>
              <w:spacing w:after="20"/>
              <w:jc w:val="left"/>
            </w:pPr>
            <w:r/>
            <w:r>
              <w:rPr>
                <w:rFonts w:ascii="Arial" w:hAnsi="Arial"/>
                <w:b w:val="0"/>
                <w:sz w:val="15"/>
              </w:rPr>
              <w:t>MarketingFM (2025)</w:t>
            </w:r>
          </w:p>
        </w:tc>
        <w:tc>
          <w:tcPr>
            <w:tcW w:type="dxa" w:w="1704"/>
            <w:vAlign w:val="center"/>
          </w:tcPr>
          <w:p>
            <w:pPr>
              <w:spacing w:after="20"/>
              <w:jc w:val="left"/>
            </w:pPr>
            <w:r/>
            <w:r>
              <w:rPr>
                <w:rFonts w:ascii="Arial" w:hAnsi="Arial"/>
                <w:b w:val="0"/>
                <w:sz w:val="15"/>
              </w:rPr>
              <w:t>Direct</w:t>
            </w:r>
          </w:p>
        </w:tc>
        <w:tc>
          <w:tcPr>
            <w:tcW w:type="dxa" w:w="1704"/>
            <w:vAlign w:val="center"/>
          </w:tcPr>
          <w:p>
            <w:pPr>
              <w:spacing w:after="20"/>
              <w:jc w:val="left"/>
            </w:pPr>
            <w:r/>
            <w:r>
              <w:rPr>
                <w:rFonts w:ascii="Arial" w:hAnsi="Arial"/>
                <w:b w:val="0"/>
                <w:sz w:val="15"/>
              </w:rPr>
              <w:t>Product/context retrieval</w:t>
            </w:r>
          </w:p>
        </w:tc>
        <w:tc>
          <w:tcPr>
            <w:tcW w:type="dxa" w:w="1704"/>
            <w:vAlign w:val="center"/>
          </w:tcPr>
          <w:p>
            <w:pPr>
              <w:spacing w:after="20"/>
              <w:jc w:val="left"/>
            </w:pPr>
            <w:r/>
            <w:r>
              <w:rPr>
                <w:rFonts w:ascii="Arial" w:hAnsi="Arial"/>
                <w:b w:val="0"/>
                <w:sz w:val="15"/>
              </w:rPr>
              <w:t>Partial / within retrieval</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Human/automated evaluation and A/B tests</w:t>
            </w:r>
          </w:p>
        </w:tc>
      </w:tr>
      <w:tr>
        <w:tc>
          <w:tcPr>
            <w:tcW w:type="dxa" w:w="1704"/>
            <w:vAlign w:val="center"/>
          </w:tcPr>
          <w:p>
            <w:pPr>
              <w:spacing w:after="20"/>
              <w:jc w:val="left"/>
            </w:pPr>
            <w:r/>
            <w:r>
              <w:rPr>
                <w:rFonts w:ascii="Arial" w:hAnsi="Arial"/>
                <w:b w:val="0"/>
                <w:sz w:val="15"/>
              </w:rPr>
              <w:t>Koo (2025)</w:t>
            </w:r>
          </w:p>
        </w:tc>
        <w:tc>
          <w:tcPr>
            <w:tcW w:type="dxa" w:w="1704"/>
            <w:vAlign w:val="center"/>
          </w:tcPr>
          <w:p>
            <w:pPr>
              <w:spacing w:after="20"/>
              <w:jc w:val="left"/>
            </w:pPr>
            <w:r/>
            <w:r>
              <w:rPr>
                <w:rFonts w:ascii="Arial" w:hAnsi="Arial"/>
                <w:b w:val="0"/>
                <w:sz w:val="15"/>
              </w:rPr>
              <w:t>Generated business content</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Cross-lingual comparison, not an embedding model</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Quality ratings and human-participant study</w:t>
            </w:r>
          </w:p>
        </w:tc>
      </w:tr>
      <w:tr>
        <w:tc>
          <w:tcPr>
            <w:tcW w:type="dxa" w:w="1704"/>
            <w:vAlign w:val="center"/>
          </w:tcPr>
          <w:p>
            <w:pPr>
              <w:spacing w:after="20"/>
              <w:jc w:val="left"/>
            </w:pPr>
            <w:r/>
            <w:r>
              <w:rPr>
                <w:rFonts w:ascii="Arial" w:hAnsi="Arial"/>
                <w:b w:val="0"/>
                <w:sz w:val="15"/>
              </w:rPr>
              <w:t>Lewis et al. (2020)</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Core topic</w:t>
            </w:r>
          </w:p>
        </w:tc>
        <w:tc>
          <w:tcPr>
            <w:tcW w:type="dxa" w:w="1704"/>
            <w:vAlign w:val="center"/>
          </w:tcPr>
          <w:p>
            <w:pPr>
              <w:spacing w:after="20"/>
              <w:jc w:val="left"/>
            </w:pPr>
            <w:r/>
            <w:r>
              <w:rPr>
                <w:rFonts w:ascii="Arial" w:hAnsi="Arial"/>
                <w:b w:val="0"/>
                <w:sz w:val="15"/>
              </w:rPr>
              <w:t>Not the main focus</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Multiple benchmark tasks</w:t>
            </w:r>
          </w:p>
        </w:tc>
      </w:tr>
      <w:tr>
        <w:tc>
          <w:tcPr>
            <w:tcW w:type="dxa" w:w="1704"/>
            <w:vAlign w:val="center"/>
          </w:tcPr>
          <w:p>
            <w:pPr>
              <w:spacing w:after="20"/>
              <w:jc w:val="left"/>
            </w:pPr>
            <w:r/>
            <w:r>
              <w:rPr>
                <w:rFonts w:ascii="Arial" w:hAnsi="Arial"/>
                <w:b w:val="0"/>
                <w:sz w:val="15"/>
              </w:rPr>
              <w:t>Wang et al. (2024)</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Applied to retrieval tasks</w:t>
            </w:r>
          </w:p>
        </w:tc>
        <w:tc>
          <w:tcPr>
            <w:tcW w:type="dxa" w:w="1704"/>
            <w:vAlign w:val="center"/>
          </w:tcPr>
          <w:p>
            <w:pPr>
              <w:spacing w:after="20"/>
              <w:jc w:val="left"/>
            </w:pPr>
            <w:r/>
            <w:r>
              <w:rPr>
                <w:rFonts w:ascii="Arial" w:hAnsi="Arial"/>
                <w:b w:val="0"/>
                <w:sz w:val="15"/>
              </w:rPr>
              <w:t>Core topic</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Multilingual benchmarks</w:t>
            </w:r>
          </w:p>
        </w:tc>
      </w:tr>
      <w:tr>
        <w:tc>
          <w:tcPr>
            <w:tcW w:type="dxa" w:w="1704"/>
            <w:vAlign w:val="center"/>
          </w:tcPr>
          <w:p>
            <w:pPr>
              <w:spacing w:after="20"/>
              <w:jc w:val="left"/>
            </w:pPr>
            <w:r/>
            <w:r>
              <w:rPr>
                <w:rFonts w:ascii="Arial" w:hAnsi="Arial"/>
                <w:b w:val="0"/>
                <w:sz w:val="15"/>
              </w:rPr>
              <w:t>Li et al. (2024)</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Not the main focus</w:t>
            </w:r>
          </w:p>
        </w:tc>
        <w:tc>
          <w:tcPr>
            <w:tcW w:type="dxa" w:w="1704"/>
            <w:vAlign w:val="center"/>
          </w:tcPr>
          <w:p>
            <w:pPr>
              <w:spacing w:after="20"/>
              <w:jc w:val="left"/>
            </w:pPr>
            <w:r/>
            <w:r>
              <w:rPr>
                <w:rFonts w:ascii="Arial" w:hAnsi="Arial"/>
                <w:b w:val="0"/>
                <w:sz w:val="15"/>
              </w:rPr>
              <w:t>—</w:t>
            </w:r>
          </w:p>
        </w:tc>
        <w:tc>
          <w:tcPr>
            <w:tcW w:type="dxa" w:w="1704"/>
            <w:vAlign w:val="center"/>
          </w:tcPr>
          <w:p>
            <w:pPr>
              <w:spacing w:after="20"/>
              <w:jc w:val="left"/>
            </w:pPr>
            <w:r/>
            <w:r>
              <w:rPr>
                <w:rFonts w:ascii="Arial" w:hAnsi="Arial"/>
                <w:b w:val="0"/>
                <w:sz w:val="15"/>
              </w:rPr>
              <w:t>Core topic</w:t>
            </w:r>
          </w:p>
        </w:tc>
        <w:tc>
          <w:tcPr>
            <w:tcW w:type="dxa" w:w="1704"/>
            <w:vAlign w:val="center"/>
          </w:tcPr>
          <w:p>
            <w:pPr>
              <w:spacing w:after="20"/>
              <w:jc w:val="left"/>
            </w:pPr>
            <w:r/>
            <w:r>
              <w:rPr>
                <w:rFonts w:ascii="Arial" w:hAnsi="Arial"/>
                <w:b w:val="0"/>
                <w:sz w:val="15"/>
              </w:rPr>
              <w:t>Survey of challenges and applications</w:t>
            </w:r>
          </w:p>
        </w:tc>
      </w:tr>
    </w:tbl>
    <w:p/>
    <w:p>
      <w:pPr>
        <w:pStyle w:val="Heading1"/>
      </w:pPr>
      <w:r>
        <w:t>5. Research Gap and Proposed Contribution</w:t>
      </w:r>
    </w:p>
    <w:p>
      <w:pPr>
        <w:spacing w:after="100"/>
        <w:jc w:val="both"/>
      </w:pPr>
      <w:r>
        <w:t>The selected literature addresses related but separate topics: contextual advertising generation and evaluation, language-related quality differences, retrieval-augmented generation, multilingual embeddings, and multi-agent system design. AdGenie proposes to investigate a unified workflow for social-media campaign planning that retrieves relevant examples, transforms a client brief into a campaign plan and publishing calendar, and reviews the result against the brief.</w:t>
      </w:r>
    </w:p>
    <w:p>
      <w:pPr>
        <w:spacing w:after="100"/>
        <w:jc w:val="both"/>
      </w:pPr>
      <w:r>
        <w:t>The proposed contribution is not that RAG or multi-agent systems are new in themselves. Instead, the project will test whether retrieval and structured agent review improve brief compliance, plan quality, and language suitability compared with a direct-generation baseline.</w:t>
      </w:r>
    </w:p>
    <w:p>
      <w:pPr>
        <w:pStyle w:val="Heading1"/>
      </w:pPr>
      <w:r>
        <w:t>6. Dataset Analysis (EDA)</w:t>
      </w:r>
    </w:p>
    <w:p>
      <w:pPr>
        <w:spacing w:after="100"/>
        <w:jc w:val="both"/>
      </w:pPr>
      <w:r>
        <w:t>The selected starting dataset is Marketing-Instruct 13K, available on Hugging Face. It is an English-language marketing-instruction dataset. An initial audit was performed on the CSV file supplied for the project.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FE2F3"/>
          </w:tcPr>
          <w:p>
            <w:pPr>
              <w:spacing w:after="20"/>
              <w:jc w:val="left"/>
            </w:pPr>
            <w:r/>
            <w:r>
              <w:rPr>
                <w:rFonts w:ascii="Arial" w:hAnsi="Arial"/>
                <w:b/>
                <w:sz w:val="17"/>
              </w:rPr>
              <w:t>Indicator</w:t>
            </w:r>
          </w:p>
        </w:tc>
        <w:tc>
          <w:tcPr>
            <w:tcW w:type="dxa" w:w="5112"/>
            <w:vAlign w:val="center"/>
            <w:shd w:fill="CFE2F3"/>
          </w:tcPr>
          <w:p>
            <w:pPr>
              <w:spacing w:after="20"/>
              <w:jc w:val="left"/>
            </w:pPr>
            <w:r/>
            <w:r>
              <w:rPr>
                <w:rFonts w:ascii="Arial" w:hAnsi="Arial"/>
                <w:b/>
                <w:sz w:val="17"/>
              </w:rPr>
              <w:t>Observed result</w:t>
            </w:r>
          </w:p>
        </w:tc>
      </w:tr>
      <w:tr>
        <w:tc>
          <w:tcPr>
            <w:tcW w:type="dxa" w:w="5112"/>
            <w:vAlign w:val="center"/>
          </w:tcPr>
          <w:p>
            <w:pPr>
              <w:spacing w:after="20"/>
              <w:jc w:val="left"/>
            </w:pPr>
            <w:r/>
            <w:r>
              <w:rPr>
                <w:rFonts w:ascii="Arial" w:hAnsi="Arial"/>
                <w:b w:val="0"/>
                <w:sz w:val="17"/>
              </w:rPr>
              <w:t>Number of rows</w:t>
            </w:r>
          </w:p>
        </w:tc>
        <w:tc>
          <w:tcPr>
            <w:tcW w:type="dxa" w:w="5112"/>
            <w:vAlign w:val="center"/>
          </w:tcPr>
          <w:p>
            <w:pPr>
              <w:spacing w:after="20"/>
              <w:jc w:val="left"/>
            </w:pPr>
            <w:r/>
            <w:r>
              <w:rPr>
                <w:rFonts w:ascii="Arial" w:hAnsi="Arial"/>
                <w:b w:val="0"/>
                <w:sz w:val="17"/>
              </w:rPr>
              <w:t>13,141</w:t>
            </w:r>
          </w:p>
        </w:tc>
      </w:tr>
      <w:tr>
        <w:tc>
          <w:tcPr>
            <w:tcW w:type="dxa" w:w="5112"/>
            <w:vAlign w:val="center"/>
          </w:tcPr>
          <w:p>
            <w:pPr>
              <w:spacing w:after="20"/>
              <w:jc w:val="left"/>
            </w:pPr>
            <w:r/>
            <w:r>
              <w:rPr>
                <w:rFonts w:ascii="Arial" w:hAnsi="Arial"/>
                <w:b w:val="0"/>
                <w:sz w:val="17"/>
              </w:rPr>
              <w:t>Text columns</w:t>
            </w:r>
          </w:p>
        </w:tc>
        <w:tc>
          <w:tcPr>
            <w:tcW w:type="dxa" w:w="5112"/>
            <w:vAlign w:val="center"/>
          </w:tcPr>
          <w:p>
            <w:pPr>
              <w:spacing w:after="20"/>
              <w:jc w:val="left"/>
            </w:pPr>
            <w:r/>
            <w:r>
              <w:rPr>
                <w:rFonts w:ascii="Arial" w:hAnsi="Arial"/>
                <w:b w:val="0"/>
                <w:sz w:val="17"/>
              </w:rPr>
              <w:t>4: original_prompt, original_completion, enhanced_prompt, enhanced_completion</w:t>
            </w:r>
          </w:p>
        </w:tc>
      </w:tr>
      <w:tr>
        <w:tc>
          <w:tcPr>
            <w:tcW w:type="dxa" w:w="5112"/>
            <w:vAlign w:val="center"/>
          </w:tcPr>
          <w:p>
            <w:pPr>
              <w:spacing w:after="20"/>
              <w:jc w:val="left"/>
            </w:pPr>
            <w:r/>
            <w:r>
              <w:rPr>
                <w:rFonts w:ascii="Arial" w:hAnsi="Arial"/>
                <w:b w:val="0"/>
                <w:sz w:val="17"/>
              </w:rPr>
              <w:t>Missing original_completion</w:t>
            </w:r>
          </w:p>
        </w:tc>
        <w:tc>
          <w:tcPr>
            <w:tcW w:type="dxa" w:w="5112"/>
            <w:vAlign w:val="center"/>
          </w:tcPr>
          <w:p>
            <w:pPr>
              <w:spacing w:after="20"/>
              <w:jc w:val="left"/>
            </w:pPr>
            <w:r/>
            <w:r>
              <w:rPr>
                <w:rFonts w:ascii="Arial" w:hAnsi="Arial"/>
                <w:b w:val="0"/>
                <w:sz w:val="17"/>
              </w:rPr>
              <w:t>4,136 rows (approximately 31.5%)</w:t>
            </w:r>
          </w:p>
        </w:tc>
      </w:tr>
      <w:tr>
        <w:tc>
          <w:tcPr>
            <w:tcW w:type="dxa" w:w="5112"/>
            <w:vAlign w:val="center"/>
          </w:tcPr>
          <w:p>
            <w:pPr>
              <w:spacing w:after="20"/>
              <w:jc w:val="left"/>
            </w:pPr>
            <w:r/>
            <w:r>
              <w:rPr>
                <w:rFonts w:ascii="Arial" w:hAnsi="Arial"/>
                <w:b w:val="0"/>
                <w:sz w:val="17"/>
              </w:rPr>
              <w:t>Missing enhanced_prompt / enhanced_completion</w:t>
            </w:r>
          </w:p>
        </w:tc>
        <w:tc>
          <w:tcPr>
            <w:tcW w:type="dxa" w:w="5112"/>
            <w:vAlign w:val="center"/>
          </w:tcPr>
          <w:p>
            <w:pPr>
              <w:spacing w:after="20"/>
              <w:jc w:val="left"/>
            </w:pPr>
            <w:r/>
            <w:r>
              <w:rPr>
                <w:rFonts w:ascii="Arial" w:hAnsi="Arial"/>
                <w:b w:val="0"/>
                <w:sz w:val="17"/>
              </w:rPr>
              <w:t>None identified in the audit</w:t>
            </w:r>
          </w:p>
        </w:tc>
      </w:tr>
      <w:tr>
        <w:tc>
          <w:tcPr>
            <w:tcW w:type="dxa" w:w="5112"/>
            <w:vAlign w:val="center"/>
          </w:tcPr>
          <w:p>
            <w:pPr>
              <w:spacing w:after="20"/>
              <w:jc w:val="left"/>
            </w:pPr>
            <w:r/>
            <w:r>
              <w:rPr>
                <w:rFonts w:ascii="Arial" w:hAnsi="Arial"/>
                <w:b w:val="0"/>
                <w:sz w:val="17"/>
              </w:rPr>
              <w:t>Fully duplicated rows</w:t>
            </w:r>
          </w:p>
        </w:tc>
        <w:tc>
          <w:tcPr>
            <w:tcW w:type="dxa" w:w="5112"/>
            <w:vAlign w:val="center"/>
          </w:tcPr>
          <w:p>
            <w:pPr>
              <w:spacing w:after="20"/>
              <w:jc w:val="left"/>
            </w:pPr>
            <w:r/>
            <w:r>
              <w:rPr>
                <w:rFonts w:ascii="Arial" w:hAnsi="Arial"/>
                <w:b w:val="0"/>
                <w:sz w:val="17"/>
              </w:rPr>
              <w:t>0</w:t>
            </w:r>
          </w:p>
        </w:tc>
      </w:tr>
      <w:tr>
        <w:tc>
          <w:tcPr>
            <w:tcW w:type="dxa" w:w="5112"/>
            <w:vAlign w:val="center"/>
          </w:tcPr>
          <w:p>
            <w:pPr>
              <w:spacing w:after="20"/>
              <w:jc w:val="left"/>
            </w:pPr>
            <w:r/>
            <w:r>
              <w:rPr>
                <w:rFonts w:ascii="Arial" w:hAnsi="Arial"/>
                <w:b w:val="0"/>
                <w:sz w:val="17"/>
              </w:rPr>
              <w:t>Duplicate enhanced_prompt–enhanced_completion pairs</w:t>
            </w:r>
          </w:p>
        </w:tc>
        <w:tc>
          <w:tcPr>
            <w:tcW w:type="dxa" w:w="5112"/>
            <w:vAlign w:val="center"/>
          </w:tcPr>
          <w:p>
            <w:pPr>
              <w:spacing w:after="20"/>
              <w:jc w:val="left"/>
            </w:pPr>
            <w:r/>
            <w:r>
              <w:rPr>
                <w:rFonts w:ascii="Arial" w:hAnsi="Arial"/>
                <w:b w:val="0"/>
                <w:sz w:val="17"/>
              </w:rPr>
              <w:t>None identified in the audit</w:t>
            </w:r>
          </w:p>
        </w:tc>
      </w:tr>
      <w:tr>
        <w:tc>
          <w:tcPr>
            <w:tcW w:type="dxa" w:w="5112"/>
            <w:vAlign w:val="center"/>
          </w:tcPr>
          <w:p>
            <w:pPr>
              <w:spacing w:after="20"/>
              <w:jc w:val="left"/>
            </w:pPr>
            <w:r/>
            <w:r>
              <w:rPr>
                <w:rFonts w:ascii="Arial" w:hAnsi="Arial"/>
                <w:b w:val="0"/>
                <w:sz w:val="17"/>
              </w:rPr>
              <w:t>Median enhanced_prompt length</w:t>
            </w:r>
          </w:p>
        </w:tc>
        <w:tc>
          <w:tcPr>
            <w:tcW w:type="dxa" w:w="5112"/>
            <w:vAlign w:val="center"/>
          </w:tcPr>
          <w:p>
            <w:pPr>
              <w:spacing w:after="20"/>
              <w:jc w:val="left"/>
            </w:pPr>
            <w:r/>
            <w:r>
              <w:rPr>
                <w:rFonts w:ascii="Arial" w:hAnsi="Arial"/>
                <w:b w:val="0"/>
                <w:sz w:val="17"/>
              </w:rPr>
              <w:t>662 characters</w:t>
            </w:r>
          </w:p>
        </w:tc>
      </w:tr>
      <w:tr>
        <w:tc>
          <w:tcPr>
            <w:tcW w:type="dxa" w:w="5112"/>
            <w:vAlign w:val="center"/>
          </w:tcPr>
          <w:p>
            <w:pPr>
              <w:spacing w:after="20"/>
              <w:jc w:val="left"/>
            </w:pPr>
            <w:r/>
            <w:r>
              <w:rPr>
                <w:rFonts w:ascii="Arial" w:hAnsi="Arial"/>
                <w:b w:val="0"/>
                <w:sz w:val="17"/>
              </w:rPr>
              <w:t>Median enhanced_completion length</w:t>
            </w:r>
          </w:p>
        </w:tc>
        <w:tc>
          <w:tcPr>
            <w:tcW w:type="dxa" w:w="5112"/>
            <w:vAlign w:val="center"/>
          </w:tcPr>
          <w:p>
            <w:pPr>
              <w:spacing w:after="20"/>
              <w:jc w:val="left"/>
            </w:pPr>
            <w:r/>
            <w:r>
              <w:rPr>
                <w:rFonts w:ascii="Arial" w:hAnsi="Arial"/>
                <w:b w:val="0"/>
                <w:sz w:val="17"/>
              </w:rPr>
              <w:t>1,341 characters</w:t>
            </w:r>
          </w:p>
        </w:tc>
      </w:tr>
      <w:tr>
        <w:tc>
          <w:tcPr>
            <w:tcW w:type="dxa" w:w="5112"/>
            <w:vAlign w:val="center"/>
          </w:tcPr>
          <w:p>
            <w:pPr>
              <w:spacing w:after="20"/>
              <w:jc w:val="left"/>
            </w:pPr>
            <w:r/>
            <w:r>
              <w:rPr>
                <w:rFonts w:ascii="Arial" w:hAnsi="Arial"/>
                <w:b w:val="0"/>
                <w:sz w:val="17"/>
              </w:rPr>
              <w:t>Median original_prompt length</w:t>
            </w:r>
          </w:p>
        </w:tc>
        <w:tc>
          <w:tcPr>
            <w:tcW w:type="dxa" w:w="5112"/>
            <w:vAlign w:val="center"/>
          </w:tcPr>
          <w:p>
            <w:pPr>
              <w:spacing w:after="20"/>
              <w:jc w:val="left"/>
            </w:pPr>
            <w:r/>
            <w:r>
              <w:rPr>
                <w:rFonts w:ascii="Arial" w:hAnsi="Arial"/>
                <w:b w:val="0"/>
                <w:sz w:val="17"/>
              </w:rPr>
              <w:t>343 characters</w:t>
            </w:r>
          </w:p>
        </w:tc>
      </w:tr>
      <w:tr>
        <w:tc>
          <w:tcPr>
            <w:tcW w:type="dxa" w:w="5112"/>
            <w:vAlign w:val="center"/>
          </w:tcPr>
          <w:p>
            <w:pPr>
              <w:spacing w:after="20"/>
              <w:jc w:val="left"/>
            </w:pPr>
            <w:r/>
            <w:r>
              <w:rPr>
                <w:rFonts w:ascii="Arial" w:hAnsi="Arial"/>
                <w:b w:val="0"/>
                <w:sz w:val="17"/>
              </w:rPr>
              <w:t>Median original_completion length</w:t>
            </w:r>
          </w:p>
        </w:tc>
        <w:tc>
          <w:tcPr>
            <w:tcW w:type="dxa" w:w="5112"/>
            <w:vAlign w:val="center"/>
          </w:tcPr>
          <w:p>
            <w:pPr>
              <w:spacing w:after="20"/>
              <w:jc w:val="left"/>
            </w:pPr>
            <w:r/>
            <w:r>
              <w:rPr>
                <w:rFonts w:ascii="Arial" w:hAnsi="Arial"/>
                <w:b w:val="0"/>
                <w:sz w:val="17"/>
              </w:rPr>
              <w:t>699 characters among non-missing values</w:t>
            </w:r>
          </w:p>
        </w:tc>
      </w:tr>
    </w:tbl>
    <w:p/>
    <w:p>
      <w:pPr>
        <w:spacing w:after="100"/>
        <w:jc w:val="both"/>
      </w:pPr>
      <w:r>
        <w:t>The enhanced_prompt and enhanced_completion columns are more complete and may be investigated as initial retrieval pairs, with enhanced_prompt serving as the query-like field and enhanced_completion as the associated example. This decision should be confirmed after qualitative inspection of a sample of records and assessment of whether they match the campaign-planning task.</w:t>
      </w:r>
    </w:p>
    <w:p>
      <w:pPr>
        <w:spacing w:after="100"/>
        <w:jc w:val="both"/>
      </w:pPr>
      <w:r>
        <w:t>Based on the current audit, the dataset does not provide verified labels for real campaign outcomes such as click-through rate or conversion. It therefore cannot, by itself, support claims that the system predicts commercial campaign success. Similarly, preparing Arabic test prompts does not make the training data Arabic; Arabic prompts will be used to assess cross-lingual performance.</w:t>
      </w:r>
    </w:p>
    <w:p>
      <w:pPr>
        <w:pStyle w:val="Heading1"/>
      </w:pPr>
      <w:r>
        <w:t>7. Dataset Suitability and Limitations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FE2F3"/>
          </w:tcPr>
          <w:p>
            <w:pPr>
              <w:spacing w:after="20"/>
              <w:jc w:val="left"/>
            </w:pPr>
            <w:r/>
            <w:r>
              <w:rPr>
                <w:rFonts w:ascii="Arial" w:hAnsi="Arial"/>
                <w:b/>
                <w:sz w:val="16"/>
              </w:rPr>
              <w:t>What the dataset may support</w:t>
            </w:r>
          </w:p>
        </w:tc>
        <w:tc>
          <w:tcPr>
            <w:tcW w:type="dxa" w:w="5112"/>
            <w:vAlign w:val="center"/>
            <w:shd w:fill="CFE2F3"/>
          </w:tcPr>
          <w:p>
            <w:pPr>
              <w:spacing w:after="20"/>
              <w:jc w:val="left"/>
            </w:pPr>
            <w:r/>
            <w:r>
              <w:rPr>
                <w:rFonts w:ascii="Arial" w:hAnsi="Arial"/>
                <w:b/>
                <w:sz w:val="16"/>
              </w:rPr>
              <w:t>What it does not establish on its own</w:t>
            </w:r>
          </w:p>
        </w:tc>
      </w:tr>
      <w:tr>
        <w:tc>
          <w:tcPr>
            <w:tcW w:type="dxa" w:w="5112"/>
            <w:vAlign w:val="center"/>
          </w:tcPr>
          <w:p>
            <w:pPr>
              <w:spacing w:after="20"/>
              <w:jc w:val="left"/>
            </w:pPr>
            <w:r/>
            <w:r>
              <w:rPr>
                <w:rFonts w:ascii="Arial" w:hAnsi="Arial"/>
                <w:b w:val="0"/>
                <w:sz w:val="16"/>
              </w:rPr>
              <w:t>English marketing-text examples that can be tested for retrieval relevance.</w:t>
            </w:r>
          </w:p>
        </w:tc>
        <w:tc>
          <w:tcPr>
            <w:tcW w:type="dxa" w:w="5112"/>
            <w:vAlign w:val="center"/>
          </w:tcPr>
          <w:p>
            <w:pPr>
              <w:spacing w:after="20"/>
              <w:jc w:val="left"/>
            </w:pPr>
            <w:r/>
            <w:r>
              <w:rPr>
                <w:rFonts w:ascii="Arial" w:hAnsi="Arial"/>
                <w:b w:val="0"/>
                <w:sz w:val="16"/>
              </w:rPr>
              <w:t>Quality of a complete multi-day campaign plan or publishing calendar.</w:t>
            </w:r>
          </w:p>
        </w:tc>
      </w:tr>
      <w:tr>
        <w:tc>
          <w:tcPr>
            <w:tcW w:type="dxa" w:w="5112"/>
            <w:vAlign w:val="center"/>
          </w:tcPr>
          <w:p>
            <w:pPr>
              <w:spacing w:after="20"/>
              <w:jc w:val="left"/>
            </w:pPr>
            <w:r/>
            <w:r>
              <w:rPr>
                <w:rFonts w:ascii="Arial" w:hAnsi="Arial"/>
                <w:b w:val="0"/>
                <w:sz w:val="16"/>
              </w:rPr>
              <w:t>Study of prompt-to-response relationships in the enhanced columns.</w:t>
            </w:r>
          </w:p>
        </w:tc>
        <w:tc>
          <w:tcPr>
            <w:tcW w:type="dxa" w:w="5112"/>
            <w:vAlign w:val="center"/>
          </w:tcPr>
          <w:p>
            <w:pPr>
              <w:spacing w:after="20"/>
              <w:jc w:val="left"/>
            </w:pPr>
            <w:r/>
            <w:r>
              <w:rPr>
                <w:rFonts w:ascii="Arial" w:hAnsi="Arial"/>
                <w:b w:val="0"/>
                <w:sz w:val="16"/>
              </w:rPr>
              <w:t>Verified commercial outcome labels or campaign-performance measurements, based on the current audit.</w:t>
            </w:r>
          </w:p>
        </w:tc>
      </w:tr>
      <w:tr>
        <w:tc>
          <w:tcPr>
            <w:tcW w:type="dxa" w:w="5112"/>
            <w:vAlign w:val="center"/>
          </w:tcPr>
          <w:p>
            <w:pPr>
              <w:spacing w:after="20"/>
              <w:jc w:val="left"/>
            </w:pPr>
            <w:r/>
            <w:r>
              <w:rPr>
                <w:rFonts w:ascii="Arial" w:hAnsi="Arial"/>
                <w:b w:val="0"/>
                <w:sz w:val="16"/>
              </w:rPr>
              <w:t>An initial source for a small marketing-example knowledge base.</w:t>
            </w:r>
          </w:p>
        </w:tc>
        <w:tc>
          <w:tcPr>
            <w:tcW w:type="dxa" w:w="5112"/>
            <w:vAlign w:val="center"/>
          </w:tcPr>
          <w:p>
            <w:pPr>
              <w:spacing w:after="20"/>
              <w:jc w:val="left"/>
            </w:pPr>
            <w:r/>
            <w:r>
              <w:rPr>
                <w:rFonts w:ascii="Arial" w:hAnsi="Arial"/>
                <w:b w:val="0"/>
                <w:sz w:val="16"/>
              </w:rPr>
              <w:t>Reliable Arabic generation or balanced quality across Arabic and English.</w:t>
            </w:r>
          </w:p>
        </w:tc>
      </w:tr>
    </w:tbl>
    <w:p/>
    <w:p>
      <w:pPr>
        <w:spacing w:after="100"/>
        <w:jc w:val="both"/>
      </w:pPr>
      <w:r>
        <w:t>The dataset should therefore be treated as an initial source for content examples and retrieval experiments, with its limitations clearly documented. Extending the knowledge base with trustworthy campaign plans or Arabic examples is a possible later step, subject to clear source and inclusion criteria.</w:t>
      </w:r>
    </w:p>
    <w:p>
      <w:pPr>
        <w:pStyle w:val="Heading1"/>
      </w:pPr>
      <w:r>
        <w:t>8. Proposed System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FE2F3"/>
          </w:tcPr>
          <w:p>
            <w:pPr>
              <w:spacing w:after="20"/>
              <w:jc w:val="left"/>
            </w:pPr>
            <w:r/>
            <w:r>
              <w:rPr>
                <w:rFonts w:ascii="Arial" w:hAnsi="Arial"/>
                <w:b/>
                <w:sz w:val="17"/>
              </w:rPr>
              <w:t>Stage</w:t>
            </w:r>
          </w:p>
        </w:tc>
        <w:tc>
          <w:tcPr>
            <w:tcW w:type="dxa" w:w="5112"/>
            <w:vAlign w:val="center"/>
            <w:shd w:fill="CFE2F3"/>
          </w:tcPr>
          <w:p>
            <w:pPr>
              <w:spacing w:after="20"/>
              <w:jc w:val="left"/>
            </w:pPr>
            <w:r/>
            <w:r>
              <w:rPr>
                <w:rFonts w:ascii="Arial" w:hAnsi="Arial"/>
                <w:b/>
                <w:sz w:val="17"/>
              </w:rPr>
              <w:t>Description</w:t>
            </w:r>
          </w:p>
        </w:tc>
      </w:tr>
      <w:tr>
        <w:tc>
          <w:tcPr>
            <w:tcW w:type="dxa" w:w="5112"/>
            <w:vAlign w:val="center"/>
          </w:tcPr>
          <w:p>
            <w:pPr>
              <w:spacing w:after="20"/>
              <w:jc w:val="left"/>
            </w:pPr>
            <w:r/>
            <w:r>
              <w:rPr>
                <w:rFonts w:ascii="Arial" w:hAnsi="Arial"/>
                <w:b w:val="0"/>
                <w:sz w:val="17"/>
              </w:rPr>
              <w:t>1. Client brief</w:t>
            </w:r>
          </w:p>
        </w:tc>
        <w:tc>
          <w:tcPr>
            <w:tcW w:type="dxa" w:w="5112"/>
            <w:vAlign w:val="center"/>
          </w:tcPr>
          <w:p>
            <w:pPr>
              <w:spacing w:after="20"/>
              <w:jc w:val="left"/>
            </w:pPr>
            <w:r/>
            <w:r>
              <w:rPr>
                <w:rFonts w:ascii="Arial" w:hAnsi="Arial"/>
                <w:b w:val="0"/>
                <w:sz w:val="17"/>
              </w:rPr>
              <w:t>Collect the product/service description, audience, platform, language, objective, campaign duration, and optional constraints.</w:t>
            </w:r>
          </w:p>
        </w:tc>
      </w:tr>
      <w:tr>
        <w:tc>
          <w:tcPr>
            <w:tcW w:type="dxa" w:w="5112"/>
            <w:vAlign w:val="center"/>
          </w:tcPr>
          <w:p>
            <w:pPr>
              <w:spacing w:after="20"/>
              <w:jc w:val="left"/>
            </w:pPr>
            <w:r/>
            <w:r>
              <w:rPr>
                <w:rFonts w:ascii="Arial" w:hAnsi="Arial"/>
                <w:b w:val="0"/>
                <w:sz w:val="17"/>
              </w:rPr>
              <w:t>2. Retrieval</w:t>
            </w:r>
          </w:p>
        </w:tc>
        <w:tc>
          <w:tcPr>
            <w:tcW w:type="dxa" w:w="5112"/>
            <w:vAlign w:val="center"/>
          </w:tcPr>
          <w:p>
            <w:pPr>
              <w:spacing w:after="20"/>
              <w:jc w:val="left"/>
            </w:pPr>
            <w:r/>
            <w:r>
              <w:rPr>
                <w:rFonts w:ascii="Arial" w:hAnsi="Arial"/>
                <w:b w:val="0"/>
                <w:sz w:val="17"/>
              </w:rPr>
              <w:t>Encode the request and search the knowledge base for relevant marketing examples.</w:t>
            </w:r>
          </w:p>
        </w:tc>
      </w:tr>
      <w:tr>
        <w:tc>
          <w:tcPr>
            <w:tcW w:type="dxa" w:w="5112"/>
            <w:vAlign w:val="center"/>
          </w:tcPr>
          <w:p>
            <w:pPr>
              <w:spacing w:after="20"/>
              <w:jc w:val="left"/>
            </w:pPr>
            <w:r/>
            <w:r>
              <w:rPr>
                <w:rFonts w:ascii="Arial" w:hAnsi="Arial"/>
                <w:b w:val="0"/>
                <w:sz w:val="17"/>
              </w:rPr>
              <w:t>3. Planning</w:t>
            </w:r>
          </w:p>
        </w:tc>
        <w:tc>
          <w:tcPr>
            <w:tcW w:type="dxa" w:w="5112"/>
            <w:vAlign w:val="center"/>
          </w:tcPr>
          <w:p>
            <w:pPr>
              <w:spacing w:after="20"/>
              <w:jc w:val="left"/>
            </w:pPr>
            <w:r/>
            <w:r>
              <w:rPr>
                <w:rFonts w:ascii="Arial" w:hAnsi="Arial"/>
                <w:b w:val="0"/>
                <w:sz w:val="17"/>
              </w:rPr>
              <w:t>Draft the campaign strategy, content pillars, and distribution of themes across the campaign period.</w:t>
            </w:r>
          </w:p>
        </w:tc>
      </w:tr>
      <w:tr>
        <w:tc>
          <w:tcPr>
            <w:tcW w:type="dxa" w:w="5112"/>
            <w:vAlign w:val="center"/>
          </w:tcPr>
          <w:p>
            <w:pPr>
              <w:spacing w:after="20"/>
              <w:jc w:val="left"/>
            </w:pPr>
            <w:r/>
            <w:r>
              <w:rPr>
                <w:rFonts w:ascii="Arial" w:hAnsi="Arial"/>
                <w:b w:val="0"/>
                <w:sz w:val="17"/>
              </w:rPr>
              <w:t>4. Content creation</w:t>
            </w:r>
          </w:p>
        </w:tc>
        <w:tc>
          <w:tcPr>
            <w:tcW w:type="dxa" w:w="5112"/>
            <w:vAlign w:val="center"/>
          </w:tcPr>
          <w:p>
            <w:pPr>
              <w:spacing w:after="20"/>
              <w:jc w:val="left"/>
            </w:pPr>
            <w:r/>
            <w:r>
              <w:rPr>
                <w:rFonts w:ascii="Arial" w:hAnsi="Arial"/>
                <w:b w:val="0"/>
                <w:sz w:val="17"/>
              </w:rPr>
              <w:t>Generate post and story ideas, draft copy, CTAs, and suitable hashtags.</w:t>
            </w:r>
          </w:p>
        </w:tc>
      </w:tr>
      <w:tr>
        <w:tc>
          <w:tcPr>
            <w:tcW w:type="dxa" w:w="5112"/>
            <w:vAlign w:val="center"/>
          </w:tcPr>
          <w:p>
            <w:pPr>
              <w:spacing w:after="20"/>
              <w:jc w:val="left"/>
            </w:pPr>
            <w:r/>
            <w:r>
              <w:rPr>
                <w:rFonts w:ascii="Arial" w:hAnsi="Arial"/>
                <w:b w:val="0"/>
                <w:sz w:val="17"/>
              </w:rPr>
              <w:t>5. Evaluation</w:t>
            </w:r>
          </w:p>
        </w:tc>
        <w:tc>
          <w:tcPr>
            <w:tcW w:type="dxa" w:w="5112"/>
            <w:vAlign w:val="center"/>
          </w:tcPr>
          <w:p>
            <w:pPr>
              <w:spacing w:after="20"/>
              <w:jc w:val="left"/>
            </w:pPr>
            <w:r/>
            <w:r>
              <w:rPr>
                <w:rFonts w:ascii="Arial" w:hAnsi="Arial"/>
                <w:b w:val="0"/>
                <w:sz w:val="17"/>
              </w:rPr>
              <w:t>Check relevance to the client brief, consistency, requirement coverage, and unsupported product claims.</w:t>
            </w:r>
          </w:p>
        </w:tc>
      </w:tr>
      <w:tr>
        <w:tc>
          <w:tcPr>
            <w:tcW w:type="dxa" w:w="5112"/>
            <w:vAlign w:val="center"/>
          </w:tcPr>
          <w:p>
            <w:pPr>
              <w:spacing w:after="20"/>
              <w:jc w:val="left"/>
            </w:pPr>
            <w:r/>
            <w:r>
              <w:rPr>
                <w:rFonts w:ascii="Arial" w:hAnsi="Arial"/>
                <w:b w:val="0"/>
                <w:sz w:val="17"/>
              </w:rPr>
              <w:t>6. Refinement</w:t>
            </w:r>
          </w:p>
        </w:tc>
        <w:tc>
          <w:tcPr>
            <w:tcW w:type="dxa" w:w="5112"/>
            <w:vAlign w:val="center"/>
          </w:tcPr>
          <w:p>
            <w:pPr>
              <w:spacing w:after="20"/>
              <w:jc w:val="left"/>
            </w:pPr>
            <w:r/>
            <w:r>
              <w:rPr>
                <w:rFonts w:ascii="Arial" w:hAnsi="Arial"/>
                <w:b w:val="0"/>
                <w:sz w:val="17"/>
              </w:rPr>
              <w:t>Revise weak sections based on the evaluation and return a structured plan and publishing calendar.</w:t>
            </w:r>
          </w:p>
        </w:tc>
      </w:tr>
    </w:tbl>
    <w:p/>
    <w:p>
      <w:pPr>
        <w:spacing w:after="100"/>
        <w:jc w:val="both"/>
      </w:pPr>
      <w:r>
        <w:t>The proposed workflow focuses on content planning and scheduling. Budget allocation and automatic publishing are outside the current scope.</w:t>
      </w:r>
    </w:p>
    <w:p>
      <w:pPr>
        <w:pStyle w:val="Heading1"/>
      </w:pPr>
      <w:r>
        <w:t>9. Proposed Experimental Design</w:t>
      </w:r>
    </w:p>
    <w:p>
      <w:pPr>
        <w:spacing w:after="100"/>
        <w:jc w:val="both"/>
      </w:pPr>
      <w:r>
        <w:t>To isolate the potential contribution of each component, three system variants will be compared using the same test requests.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FE2F3"/>
          </w:tcPr>
          <w:p>
            <w:pPr>
              <w:spacing w:after="20"/>
              <w:jc w:val="left"/>
            </w:pPr>
            <w:r/>
            <w:r>
              <w:rPr>
                <w:rFonts w:ascii="Arial" w:hAnsi="Arial"/>
                <w:b/>
                <w:sz w:val="16"/>
              </w:rPr>
              <w:t>Variant</w:t>
            </w:r>
          </w:p>
        </w:tc>
        <w:tc>
          <w:tcPr>
            <w:tcW w:type="dxa" w:w="3408"/>
            <w:vAlign w:val="center"/>
            <w:shd w:fill="CFE2F3"/>
          </w:tcPr>
          <w:p>
            <w:pPr>
              <w:spacing w:after="20"/>
              <w:jc w:val="left"/>
            </w:pPr>
            <w:r/>
            <w:r>
              <w:rPr>
                <w:rFonts w:ascii="Arial" w:hAnsi="Arial"/>
                <w:b/>
                <w:sz w:val="16"/>
              </w:rPr>
              <w:t>Description</w:t>
            </w:r>
          </w:p>
        </w:tc>
        <w:tc>
          <w:tcPr>
            <w:tcW w:type="dxa" w:w="3408"/>
            <w:vAlign w:val="center"/>
            <w:shd w:fill="CFE2F3"/>
          </w:tcPr>
          <w:p>
            <w:pPr>
              <w:spacing w:after="20"/>
              <w:jc w:val="left"/>
            </w:pPr>
            <w:r/>
            <w:r>
              <w:rPr>
                <w:rFonts w:ascii="Arial" w:hAnsi="Arial"/>
                <w:b/>
                <w:sz w:val="16"/>
              </w:rPr>
              <w:t>Purpose</w:t>
            </w:r>
          </w:p>
        </w:tc>
      </w:tr>
      <w:tr>
        <w:tc>
          <w:tcPr>
            <w:tcW w:type="dxa" w:w="3408"/>
            <w:vAlign w:val="center"/>
          </w:tcPr>
          <w:p>
            <w:pPr>
              <w:spacing w:after="20"/>
              <w:jc w:val="left"/>
            </w:pPr>
            <w:r/>
            <w:r>
              <w:rPr>
                <w:rFonts w:ascii="Arial" w:hAnsi="Arial"/>
                <w:b w:val="0"/>
                <w:sz w:val="16"/>
              </w:rPr>
              <w:t>A — Baseline</w:t>
            </w:r>
          </w:p>
        </w:tc>
        <w:tc>
          <w:tcPr>
            <w:tcW w:type="dxa" w:w="3408"/>
            <w:vAlign w:val="center"/>
          </w:tcPr>
          <w:p>
            <w:pPr>
              <w:spacing w:after="20"/>
              <w:jc w:val="left"/>
            </w:pPr>
            <w:r/>
            <w:r>
              <w:rPr>
                <w:rFonts w:ascii="Arial" w:hAnsi="Arial"/>
                <w:b w:val="0"/>
                <w:sz w:val="16"/>
              </w:rPr>
              <w:t>Direct response to the client brief without RAG or agent review.</w:t>
            </w:r>
          </w:p>
        </w:tc>
        <w:tc>
          <w:tcPr>
            <w:tcW w:type="dxa" w:w="3408"/>
            <w:vAlign w:val="center"/>
          </w:tcPr>
          <w:p>
            <w:pPr>
              <w:spacing w:after="20"/>
              <w:jc w:val="left"/>
            </w:pPr>
            <w:r/>
            <w:r>
              <w:rPr>
                <w:rFonts w:ascii="Arial" w:hAnsi="Arial"/>
                <w:b w:val="0"/>
                <w:sz w:val="16"/>
              </w:rPr>
              <w:t>Establish a reference level of performance.</w:t>
            </w:r>
          </w:p>
        </w:tc>
      </w:tr>
      <w:tr>
        <w:tc>
          <w:tcPr>
            <w:tcW w:type="dxa" w:w="3408"/>
            <w:vAlign w:val="center"/>
          </w:tcPr>
          <w:p>
            <w:pPr>
              <w:spacing w:after="20"/>
              <w:jc w:val="left"/>
            </w:pPr>
            <w:r/>
            <w:r>
              <w:rPr>
                <w:rFonts w:ascii="Arial" w:hAnsi="Arial"/>
                <w:b w:val="0"/>
                <w:sz w:val="16"/>
              </w:rPr>
              <w:t>B — RAG</w:t>
            </w:r>
          </w:p>
        </w:tc>
        <w:tc>
          <w:tcPr>
            <w:tcW w:type="dxa" w:w="3408"/>
            <w:vAlign w:val="center"/>
          </w:tcPr>
          <w:p>
            <w:pPr>
              <w:spacing w:after="20"/>
              <w:jc w:val="left"/>
            </w:pPr>
            <w:r/>
            <w:r>
              <w:rPr>
                <w:rFonts w:ascii="Arial" w:hAnsi="Arial"/>
                <w:b w:val="0"/>
                <w:sz w:val="16"/>
              </w:rPr>
              <w:t>The same model generates after retrieving relevant examples.</w:t>
            </w:r>
          </w:p>
        </w:tc>
        <w:tc>
          <w:tcPr>
            <w:tcW w:type="dxa" w:w="3408"/>
            <w:vAlign w:val="center"/>
          </w:tcPr>
          <w:p>
            <w:pPr>
              <w:spacing w:after="20"/>
              <w:jc w:val="left"/>
            </w:pPr>
            <w:r/>
            <w:r>
              <w:rPr>
                <w:rFonts w:ascii="Arial" w:hAnsi="Arial"/>
                <w:b w:val="0"/>
                <w:sz w:val="16"/>
              </w:rPr>
              <w:t>Estimate the effect of adding retrieval.</w:t>
            </w:r>
          </w:p>
        </w:tc>
      </w:tr>
      <w:tr>
        <w:tc>
          <w:tcPr>
            <w:tcW w:type="dxa" w:w="3408"/>
            <w:vAlign w:val="center"/>
          </w:tcPr>
          <w:p>
            <w:pPr>
              <w:spacing w:after="20"/>
              <w:jc w:val="left"/>
            </w:pPr>
            <w:r/>
            <w:r>
              <w:rPr>
                <w:rFonts w:ascii="Arial" w:hAnsi="Arial"/>
                <w:b w:val="0"/>
                <w:sz w:val="16"/>
              </w:rPr>
              <w:t>C — RAG + Agent Review</w:t>
            </w:r>
          </w:p>
        </w:tc>
        <w:tc>
          <w:tcPr>
            <w:tcW w:type="dxa" w:w="3408"/>
            <w:vAlign w:val="center"/>
          </w:tcPr>
          <w:p>
            <w:pPr>
              <w:spacing w:after="20"/>
              <w:jc w:val="left"/>
            </w:pPr>
            <w:r/>
            <w:r>
              <w:rPr>
                <w:rFonts w:ascii="Arial" w:hAnsi="Arial"/>
                <w:b w:val="0"/>
                <w:sz w:val="16"/>
              </w:rPr>
              <w:t>Retrieval and generation followed by structured review and refinement.</w:t>
            </w:r>
          </w:p>
        </w:tc>
        <w:tc>
          <w:tcPr>
            <w:tcW w:type="dxa" w:w="3408"/>
            <w:vAlign w:val="center"/>
          </w:tcPr>
          <w:p>
            <w:pPr>
              <w:spacing w:after="20"/>
              <w:jc w:val="left"/>
            </w:pPr>
            <w:r/>
            <w:r>
              <w:rPr>
                <w:rFonts w:ascii="Arial" w:hAnsi="Arial"/>
                <w:b w:val="0"/>
                <w:sz w:val="16"/>
              </w:rPr>
              <w:t>Estimate the effect of review/refinement after retrieval.</w:t>
            </w:r>
          </w:p>
        </w:tc>
      </w:tr>
    </w:tbl>
    <w:p/>
    <w:p>
      <w:pPr>
        <w:spacing w:after="100"/>
        <w:jc w:val="both"/>
      </w:pPr>
      <w:r>
        <w:t>The initial plan is to prepare 30 test requests from 15 scenarios represented in Arabic and English. The same scenarios should be used across all variants to improve comparability. Each case should record language, platform, objective, and task complexity.</w:t>
      </w:r>
    </w:p>
    <w:p>
      <w:pPr>
        <w:spacing w:after="100"/>
        <w:jc w:val="both"/>
      </w:pPr>
      <w:r>
        <w:t>Proposed measures are: (1) percentage of outputs fully compliant with the brief, (2) human quality rating on a 1–5 scale, (3) relevance of retrieved examples, and (4) count or rate of unsupported or fabricated claims. Initial targets are at least 90% full compliance and a mean quality score of at least 4/5. These are pre-defined targets, not experimental findings. With a small test set, results should be interpreted as exploratory rather than conclusive evidence of generalization.</w:t>
      </w:r>
    </w:p>
    <w:p>
      <w:pPr>
        <w:pStyle w:val="Heading1"/>
      </w:pPr>
      <w:r>
        <w:t>10. Candidate Tools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FE2F3"/>
          </w:tcPr>
          <w:p>
            <w:pPr>
              <w:spacing w:after="20"/>
              <w:jc w:val="left"/>
            </w:pPr>
            <w:r/>
            <w:r>
              <w:rPr>
                <w:rFonts w:ascii="Arial" w:hAnsi="Arial"/>
                <w:b/>
                <w:sz w:val="16"/>
              </w:rPr>
              <w:t>Tool</w:t>
            </w:r>
          </w:p>
        </w:tc>
        <w:tc>
          <w:tcPr>
            <w:tcW w:type="dxa" w:w="3408"/>
            <w:vAlign w:val="center"/>
            <w:shd w:fill="CFE2F3"/>
          </w:tcPr>
          <w:p>
            <w:pPr>
              <w:spacing w:after="20"/>
              <w:jc w:val="left"/>
            </w:pPr>
            <w:r/>
            <w:r>
              <w:rPr>
                <w:rFonts w:ascii="Arial" w:hAnsi="Arial"/>
                <w:b/>
                <w:sz w:val="16"/>
              </w:rPr>
              <w:t>Proposed role</w:t>
            </w:r>
          </w:p>
        </w:tc>
        <w:tc>
          <w:tcPr>
            <w:tcW w:type="dxa" w:w="3408"/>
            <w:vAlign w:val="center"/>
            <w:shd w:fill="CFE2F3"/>
          </w:tcPr>
          <w:p>
            <w:pPr>
              <w:spacing w:after="20"/>
              <w:jc w:val="left"/>
            </w:pPr>
            <w:r/>
            <w:r>
              <w:rPr>
                <w:rFonts w:ascii="Arial" w:hAnsi="Arial"/>
                <w:b/>
                <w:sz w:val="16"/>
              </w:rPr>
              <w:t>Status</w:t>
            </w:r>
          </w:p>
        </w:tc>
      </w:tr>
      <w:tr>
        <w:tc>
          <w:tcPr>
            <w:tcW w:type="dxa" w:w="3408"/>
            <w:vAlign w:val="center"/>
          </w:tcPr>
          <w:p>
            <w:pPr>
              <w:spacing w:after="20"/>
              <w:jc w:val="left"/>
            </w:pPr>
            <w:r/>
            <w:r>
              <w:rPr>
                <w:rFonts w:ascii="Arial" w:hAnsi="Arial"/>
                <w:b w:val="0"/>
                <w:sz w:val="16"/>
              </w:rPr>
              <w:t>Qwen2.5-1.5B-Instruct</w:t>
            </w:r>
          </w:p>
        </w:tc>
        <w:tc>
          <w:tcPr>
            <w:tcW w:type="dxa" w:w="3408"/>
            <w:vAlign w:val="center"/>
          </w:tcPr>
          <w:p>
            <w:pPr>
              <w:spacing w:after="20"/>
              <w:jc w:val="left"/>
            </w:pPr>
            <w:r/>
            <w:r>
              <w:rPr>
                <w:rFonts w:ascii="Arial" w:hAnsi="Arial"/>
                <w:b w:val="0"/>
                <w:sz w:val="16"/>
              </w:rPr>
              <w:t>Candidate model for direct-generation baseline.</w:t>
            </w:r>
          </w:p>
        </w:tc>
        <w:tc>
          <w:tcPr>
            <w:tcW w:type="dxa" w:w="3408"/>
            <w:vAlign w:val="center"/>
          </w:tcPr>
          <w:p>
            <w:pPr>
              <w:spacing w:after="20"/>
              <w:jc w:val="left"/>
            </w:pPr>
            <w:r/>
            <w:r>
              <w:rPr>
                <w:rFonts w:ascii="Arial" w:hAnsi="Arial"/>
                <w:b w:val="0"/>
                <w:sz w:val="16"/>
              </w:rPr>
              <w:t>Preliminary choice; version and settings must be fixed.</w:t>
            </w:r>
          </w:p>
        </w:tc>
      </w:tr>
      <w:tr>
        <w:tc>
          <w:tcPr>
            <w:tcW w:type="dxa" w:w="3408"/>
            <w:vAlign w:val="center"/>
          </w:tcPr>
          <w:p>
            <w:pPr>
              <w:spacing w:after="20"/>
              <w:jc w:val="left"/>
            </w:pPr>
            <w:r/>
            <w:r>
              <w:rPr>
                <w:rFonts w:ascii="Arial" w:hAnsi="Arial"/>
                <w:b w:val="0"/>
                <w:sz w:val="16"/>
              </w:rPr>
              <w:t>multilingual-e5-base</w:t>
            </w:r>
          </w:p>
        </w:tc>
        <w:tc>
          <w:tcPr>
            <w:tcW w:type="dxa" w:w="3408"/>
            <w:vAlign w:val="center"/>
          </w:tcPr>
          <w:p>
            <w:pPr>
              <w:spacing w:after="20"/>
              <w:jc w:val="left"/>
            </w:pPr>
            <w:r/>
            <w:r>
              <w:rPr>
                <w:rFonts w:ascii="Arial" w:hAnsi="Arial"/>
                <w:b w:val="0"/>
                <w:sz w:val="16"/>
              </w:rPr>
              <w:t>Generate embeddings for semantic retrieval across languages.</w:t>
            </w:r>
          </w:p>
        </w:tc>
        <w:tc>
          <w:tcPr>
            <w:tcW w:type="dxa" w:w="3408"/>
            <w:vAlign w:val="center"/>
          </w:tcPr>
          <w:p>
            <w:pPr>
              <w:spacing w:after="20"/>
              <w:jc w:val="left"/>
            </w:pPr>
            <w:r/>
            <w:r>
              <w:rPr>
                <w:rFonts w:ascii="Arial" w:hAnsi="Arial"/>
                <w:b w:val="0"/>
                <w:sz w:val="16"/>
              </w:rPr>
              <w:t>Candidate to test; not yet proven superior.</w:t>
            </w:r>
          </w:p>
        </w:tc>
      </w:tr>
      <w:tr>
        <w:tc>
          <w:tcPr>
            <w:tcW w:type="dxa" w:w="3408"/>
            <w:vAlign w:val="center"/>
          </w:tcPr>
          <w:p>
            <w:pPr>
              <w:spacing w:after="20"/>
              <w:jc w:val="left"/>
            </w:pPr>
            <w:r/>
            <w:r>
              <w:rPr>
                <w:rFonts w:ascii="Arial" w:hAnsi="Arial"/>
                <w:b w:val="0"/>
                <w:sz w:val="16"/>
              </w:rPr>
              <w:t>ChromaDB</w:t>
            </w:r>
          </w:p>
        </w:tc>
        <w:tc>
          <w:tcPr>
            <w:tcW w:type="dxa" w:w="3408"/>
            <w:vAlign w:val="center"/>
          </w:tcPr>
          <w:p>
            <w:pPr>
              <w:spacing w:after="20"/>
              <w:jc w:val="left"/>
            </w:pPr>
            <w:r/>
            <w:r>
              <w:rPr>
                <w:rFonts w:ascii="Arial" w:hAnsi="Arial"/>
                <w:b w:val="0"/>
                <w:sz w:val="16"/>
              </w:rPr>
              <w:t>Store embeddings and retrieve examples from the knowledge base.</w:t>
            </w:r>
          </w:p>
        </w:tc>
        <w:tc>
          <w:tcPr>
            <w:tcW w:type="dxa" w:w="3408"/>
            <w:vAlign w:val="center"/>
          </w:tcPr>
          <w:p>
            <w:pPr>
              <w:spacing w:after="20"/>
              <w:jc w:val="left"/>
            </w:pPr>
            <w:r/>
            <w:r>
              <w:rPr>
                <w:rFonts w:ascii="Arial" w:hAnsi="Arial"/>
                <w:b w:val="0"/>
                <w:sz w:val="16"/>
              </w:rPr>
              <w:t>Proposed tool.</w:t>
            </w:r>
          </w:p>
        </w:tc>
      </w:tr>
      <w:tr>
        <w:tc>
          <w:tcPr>
            <w:tcW w:type="dxa" w:w="3408"/>
            <w:vAlign w:val="center"/>
          </w:tcPr>
          <w:p>
            <w:pPr>
              <w:spacing w:after="20"/>
              <w:jc w:val="left"/>
            </w:pPr>
            <w:r/>
            <w:r>
              <w:rPr>
                <w:rFonts w:ascii="Arial" w:hAnsi="Arial"/>
                <w:b w:val="0"/>
                <w:sz w:val="16"/>
              </w:rPr>
              <w:t>LangGraph</w:t>
            </w:r>
          </w:p>
        </w:tc>
        <w:tc>
          <w:tcPr>
            <w:tcW w:type="dxa" w:w="3408"/>
            <w:vAlign w:val="center"/>
          </w:tcPr>
          <w:p>
            <w:pPr>
              <w:spacing w:after="20"/>
              <w:jc w:val="left"/>
            </w:pPr>
            <w:r/>
            <w:r>
              <w:rPr>
                <w:rFonts w:ascii="Arial" w:hAnsi="Arial"/>
                <w:b w:val="0"/>
                <w:sz w:val="16"/>
              </w:rPr>
              <w:t>Coordinate workflow between system stages/agents.</w:t>
            </w:r>
          </w:p>
        </w:tc>
        <w:tc>
          <w:tcPr>
            <w:tcW w:type="dxa" w:w="3408"/>
            <w:vAlign w:val="center"/>
          </w:tcPr>
          <w:p>
            <w:pPr>
              <w:spacing w:after="20"/>
              <w:jc w:val="left"/>
            </w:pPr>
            <w:r/>
            <w:r>
              <w:rPr>
                <w:rFonts w:ascii="Arial" w:hAnsi="Arial"/>
                <w:b w:val="0"/>
                <w:sz w:val="16"/>
              </w:rPr>
              <w:t>Proposed tool.</w:t>
            </w:r>
          </w:p>
        </w:tc>
      </w:tr>
      <w:tr>
        <w:tc>
          <w:tcPr>
            <w:tcW w:type="dxa" w:w="3408"/>
            <w:vAlign w:val="center"/>
          </w:tcPr>
          <w:p>
            <w:pPr>
              <w:spacing w:after="20"/>
              <w:jc w:val="left"/>
            </w:pPr>
            <w:r/>
            <w:r>
              <w:rPr>
                <w:rFonts w:ascii="Arial" w:hAnsi="Arial"/>
                <w:b w:val="0"/>
                <w:sz w:val="16"/>
              </w:rPr>
              <w:t>Cross-encoder reranker</w:t>
            </w:r>
          </w:p>
        </w:tc>
        <w:tc>
          <w:tcPr>
            <w:tcW w:type="dxa" w:w="3408"/>
            <w:vAlign w:val="center"/>
          </w:tcPr>
          <w:p>
            <w:pPr>
              <w:spacing w:after="20"/>
              <w:jc w:val="left"/>
            </w:pPr>
            <w:r/>
            <w:r>
              <w:rPr>
                <w:rFonts w:ascii="Arial" w:hAnsi="Arial"/>
                <w:b w:val="0"/>
                <w:sz w:val="16"/>
              </w:rPr>
              <w:t>Reorder retrieved results if experiments show this is needed.</w:t>
            </w:r>
          </w:p>
        </w:tc>
        <w:tc>
          <w:tcPr>
            <w:tcW w:type="dxa" w:w="3408"/>
            <w:vAlign w:val="center"/>
          </w:tcPr>
          <w:p>
            <w:pPr>
              <w:spacing w:after="20"/>
              <w:jc w:val="left"/>
            </w:pPr>
            <w:r/>
            <w:r>
              <w:rPr>
                <w:rFonts w:ascii="Arial" w:hAnsi="Arial"/>
                <w:b w:val="0"/>
                <w:sz w:val="16"/>
              </w:rPr>
              <w:t>Optional; should not be assumed before testing.</w:t>
            </w:r>
          </w:p>
        </w:tc>
      </w:tr>
    </w:tbl>
    <w:p/>
    <w:p>
      <w:pPr>
        <w:spacing w:after="100"/>
        <w:jc w:val="both"/>
      </w:pPr>
      <w:r>
        <w:t>These tools are proposed candidates, not a description of a completed implementation. Final choices should be guided by experimental results, implementation requirements, and available computing resources.</w:t>
      </w:r>
    </w:p>
    <w:p>
      <w:pPr>
        <w:pStyle w:val="Heading1"/>
      </w:pPr>
      <w:r>
        <w:t>11. Conclusion and Next Steps</w:t>
      </w:r>
    </w:p>
    <w:p>
      <w:pPr>
        <w:spacing w:after="100"/>
        <w:jc w:val="both"/>
      </w:pPr>
      <w:r>
        <w:t>This report frames AdGenie as a social-media campaign-planning system rather than a single-ad copywriter, summarizes relevant prior work, and documents an initial audit of the Marketing-Instruct 13K dataset. The literature motivates studying retrieval, cross-lingual quality, and structured output review. However, the suitability of the current dataset for full campaign planning, the quality of Arabic outputs, and the practical benefit of multi-agent review remain hypotheses to be tested.</w:t>
      </w:r>
    </w:p>
    <w:p>
      <w:pPr>
        <w:spacing w:after="100"/>
        <w:jc w:val="both"/>
      </w:pPr>
      <w:r>
        <w:t>Next steps are to inspect a random sample of dataset records, document inclusion criteria for the retrieval knowledge base, prepare a fixed bilingual test set, and run the A/B/C comparison while recording results without assuming in advance that the most complex variant will perform best.</w:t>
      </w:r>
    </w:p>
    <w:p>
      <w:pPr>
        <w:pStyle w:val="Heading1"/>
      </w:pPr>
      <w:r>
        <w:t>References</w:t>
      </w:r>
    </w:p>
    <w:p>
      <w:pPr>
        <w:spacing w:after="80"/>
        <w:jc w:val="left"/>
      </w:pPr>
      <w:r>
        <w:t>1. Liu et al. (2025). “LLMs for Customized Marketing Content Generation and Evaluation at Scale” (MarketingFM). Amazon Science. https://www.amazon.science/publications/llms-for-customized-marketing-content-generation-and-evaluation-at-scale</w:t>
      </w:r>
    </w:p>
    <w:p>
      <w:pPr>
        <w:spacing w:after="80"/>
        <w:jc w:val="left"/>
      </w:pPr>
      <w:r>
        <w:t>2. Koo, W. W. (2025). “Cross-lingual effects of AI-generated content on human work.” Scientific Reports. https://www.nature.com/articles/s41598-025-16650-w</w:t>
      </w:r>
    </w:p>
    <w:p>
      <w:pPr>
        <w:spacing w:after="80"/>
        <w:jc w:val="left"/>
      </w:pPr>
      <w:r>
        <w:t>3. Lewis, P. et al. (2020). “Retrieval-Augmented Generation for Knowledge-Intensive NLP Tasks.” arXiv:2005.11401. https://arxiv.org/abs/2005.11401</w:t>
      </w:r>
    </w:p>
    <w:p>
      <w:pPr>
        <w:spacing w:after="80"/>
        <w:jc w:val="left"/>
      </w:pPr>
      <w:r>
        <w:t>4. Wang, L. et al. (2024). “Multilingual E5 Text Embeddings: A Technical Report.” Microsoft Research / arXiv:2402.05672. https://www.microsoft.com/en-us/research/publication/multilingual-e5-text-embeddings-a-technical-report/</w:t>
      </w:r>
    </w:p>
    <w:p>
      <w:pPr>
        <w:spacing w:after="80"/>
        <w:jc w:val="left"/>
      </w:pPr>
      <w:r>
        <w:t>5. Li et al. (2024). “A survey on LLM-based multi-agent systems: workflow, infrastructure, and challenges.” https://link.springer.com/article/10.1007/s44336-024-00009-2</w:t>
      </w:r>
    </w:p>
    <w:p>
      <w:pPr>
        <w:spacing w:after="80"/>
        <w:jc w:val="left"/>
      </w:pPr>
      <w:r>
        <w:t>6. Marketing-Instruct 13K dataset. Hugging Face Datasets. https://huggingface.co/datasets/suehuynh/marketing-instruct-13k</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AdGenie — Seminar 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