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E3A5F"/>
          <w:sz w:val="52"/>
          <w:szCs w:val="52"/>
        </w:rPr>
        <w:t xml:space="preserve">LAPORAN PASAR PROPERTI</w:t>
      </w:r>
    </w:p>
    <w:p>
      <w:pPr>
        <w:spacing w:after="160"/>
        <w:jc w:val="center"/>
      </w:pPr>
      <w:r>
        <w:rPr>
          <w:rFonts w:ascii="Arial" w:cs="Arial" w:eastAsia="Arial" w:hAnsi="Arial"/>
          <w:b/>
          <w:bCs/>
          <w:color w:val="2E86AB"/>
          <w:sz w:val="40"/>
          <w:szCs w:val="40"/>
        </w:rPr>
        <w:t xml:space="preserve">BERLIN — BEZIRK MITTE</w:t>
      </w:r>
    </w:p>
    <w:p>
      <w:pPr>
        <w:spacing w:after="80"/>
        <w:jc w:val="center"/>
      </w:pPr>
      <w:r>
        <w:rPr>
          <w:rFonts w:ascii="Arial" w:cs="Arial" w:eastAsia="Arial" w:hAnsi="Arial"/>
          <w:color w:val="64748B"/>
          <w:sz w:val="26"/>
          <w:szCs w:val="26"/>
        </w:rPr>
        <w:t xml:space="preserve">Ortsteil Mitte (Ort) &amp; Tiergarten</w:t>
      </w:r>
    </w:p>
    <w:p>
      <w:pPr>
        <w:spacing w:after="600"/>
        <w:jc w:val="center"/>
      </w:pPr>
      <w:r>
        <w:rPr>
          <w:rFonts w:ascii="Arial" w:cs="Arial" w:eastAsia="Arial" w:hAnsi="Arial"/>
          <w:color w:val="64748B"/>
          <w:sz w:val="22"/>
          <w:szCs w:val="22"/>
        </w:rPr>
        <w:t xml:space="preserve">Periode: Januari 2020 – April 2026</w:t>
      </w:r>
    </w:p>
    <w:p>
      <w:pPr>
        <w:pBdr>
          <w:bottom w:val="single" w:color="1E3A5F" w:sz="12" w:space="1"/>
        </w:pBdr>
        <w:spacing w:after="400"/>
      </w:pPr>
    </w:p>
    <w:p>
      <w:pPr>
        <w:spacing w:after="160"/>
      </w:pPr>
      <w:r>
        <w:rPr>
          <w:rFonts w:ascii="Arial" w:cs="Arial" w:eastAsia="Arial" w:hAnsi="Arial"/>
          <w:b/>
          <w:bCs/>
          <w:sz w:val="22"/>
          <w:szCs w:val="22"/>
        </w:rPr>
        <w:t xml:space="preserve">Statistik Kunci: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86AB" w:sz="1"/>
              <w:left w:val="single" w:color="2E86AB" w:sz="1"/>
              <w:bottom w:val="single" w:color="2E86AB" w:sz="1"/>
              <w:right w:val="single" w:color="2E86AB" w:sz="1"/>
            </w:tcBorders>
            <w:shd w:fill="1E3A5F" w:val="clear"/>
            <w:tcMar>
              <w:top w:type="dxa" w:w="200"/>
              <w:left w:type="dxa" w:w="150"/>
              <w:bottom w:type="dxa" w:w="200"/>
              <w:right w:type="dxa" w:w="150"/>
            </w:tcMar>
          </w:tcPr>
          <w:p>
            <w:pPr>
              <w:jc w:val="center"/>
            </w:pPr>
            <w:r>
              <w:rPr>
                <w:rFonts w:ascii="Arial" w:cs="Arial" w:eastAsia="Arial" w:hAnsi="Arial"/>
                <w:b/>
                <w:bCs/>
                <w:color w:val="FFFFFF"/>
                <w:sz w:val="30"/>
                <w:szCs w:val="30"/>
              </w:rPr>
              <w:t xml:space="preserve">€9.541/m²</w:t>
            </w:r>
          </w:p>
          <w:p>
            <w:pPr>
              <w:jc w:val="center"/>
            </w:pPr>
            <w:r>
              <w:rPr>
                <w:rFonts w:ascii="Arial" w:cs="Arial" w:eastAsia="Arial" w:hAnsi="Arial"/>
                <w:color w:val="B0C4DE"/>
                <w:sz w:val="16"/>
                <w:szCs w:val="16"/>
              </w:rPr>
              <w:t xml:space="preserve">Harga Sekunder 2025 (rata-rata)</w:t>
            </w:r>
          </w:p>
        </w:tc>
        <w:tc>
          <w:tcPr>
            <w:tcW w:type="dxa" w:w="2340"/>
            <w:tcBorders>
              <w:top w:val="single" w:color="2E86AB" w:sz="1"/>
              <w:left w:val="single" w:color="2E86AB" w:sz="1"/>
              <w:bottom w:val="single" w:color="2E86AB" w:sz="1"/>
              <w:right w:val="single" w:color="2E86AB" w:sz="1"/>
            </w:tcBorders>
            <w:shd w:fill="1E3A5F" w:val="clear"/>
            <w:tcMar>
              <w:top w:type="dxa" w:w="200"/>
              <w:left w:type="dxa" w:w="150"/>
              <w:bottom w:type="dxa" w:w="200"/>
              <w:right w:type="dxa" w:w="150"/>
            </w:tcMar>
          </w:tcPr>
          <w:p>
            <w:pPr>
              <w:jc w:val="center"/>
            </w:pPr>
            <w:r>
              <w:rPr>
                <w:rFonts w:ascii="Arial" w:cs="Arial" w:eastAsia="Arial" w:hAnsi="Arial"/>
                <w:b/>
                <w:bCs/>
                <w:color w:val="FFFFFF"/>
                <w:sz w:val="30"/>
                <w:szCs w:val="30"/>
              </w:rPr>
              <w:t xml:space="preserve">€11.982/m²</w:t>
            </w:r>
          </w:p>
          <w:p>
            <w:pPr>
              <w:jc w:val="center"/>
            </w:pPr>
            <w:r>
              <w:rPr>
                <w:rFonts w:ascii="Arial" w:cs="Arial" w:eastAsia="Arial" w:hAnsi="Arial"/>
                <w:color w:val="B0C4DE"/>
                <w:sz w:val="16"/>
                <w:szCs w:val="16"/>
              </w:rPr>
              <w:t xml:space="preserve">Harga Baru 2025 (rata-rata)</w:t>
            </w:r>
          </w:p>
        </w:tc>
        <w:tc>
          <w:tcPr>
            <w:tcW w:type="dxa" w:w="2340"/>
            <w:tcBorders>
              <w:top w:val="single" w:color="2E86AB" w:sz="1"/>
              <w:left w:val="single" w:color="2E86AB" w:sz="1"/>
              <w:bottom w:val="single" w:color="2E86AB" w:sz="1"/>
              <w:right w:val="single" w:color="2E86AB" w:sz="1"/>
            </w:tcBorders>
            <w:shd w:fill="1E3A5F" w:val="clear"/>
            <w:tcMar>
              <w:top w:type="dxa" w:w="200"/>
              <w:left w:type="dxa" w:w="150"/>
              <w:bottom w:type="dxa" w:w="200"/>
              <w:right w:type="dxa" w:w="150"/>
            </w:tcMar>
          </w:tcPr>
          <w:p>
            <w:pPr>
              <w:jc w:val="center"/>
            </w:pPr>
            <w:r>
              <w:rPr>
                <w:rFonts w:ascii="Arial" w:cs="Arial" w:eastAsia="Arial" w:hAnsi="Arial"/>
                <w:b/>
                <w:bCs/>
                <w:color w:val="FFFFFF"/>
                <w:sz w:val="30"/>
                <w:szCs w:val="30"/>
              </w:rPr>
              <w:t xml:space="preserve">€28,49/m²/bln</w:t>
            </w:r>
          </w:p>
          <w:p>
            <w:pPr>
              <w:jc w:val="center"/>
            </w:pPr>
            <w:r>
              <w:rPr>
                <w:rFonts w:ascii="Arial" w:cs="Arial" w:eastAsia="Arial" w:hAnsi="Arial"/>
                <w:color w:val="B0C4DE"/>
                <w:sz w:val="16"/>
                <w:szCs w:val="16"/>
              </w:rPr>
              <w:t xml:space="preserve">Kaltmiete 2025 (rata-rata)</w:t>
            </w:r>
          </w:p>
        </w:tc>
        <w:tc>
          <w:tcPr>
            <w:tcW w:type="dxa" w:w="2340"/>
            <w:tcBorders>
              <w:top w:val="single" w:color="2E86AB" w:sz="1"/>
              <w:left w:val="single" w:color="2E86AB" w:sz="1"/>
              <w:bottom w:val="single" w:color="2E86AB" w:sz="1"/>
              <w:right w:val="single" w:color="2E86AB" w:sz="1"/>
            </w:tcBorders>
            <w:shd w:fill="1E3A5F" w:val="clear"/>
            <w:tcMar>
              <w:top w:type="dxa" w:w="200"/>
              <w:left w:type="dxa" w:w="150"/>
              <w:bottom w:type="dxa" w:w="200"/>
              <w:right w:type="dxa" w:w="150"/>
            </w:tcMar>
          </w:tcPr>
          <w:p>
            <w:pPr>
              <w:jc w:val="center"/>
            </w:pPr>
            <w:r>
              <w:rPr>
                <w:rFonts w:ascii="Arial" w:cs="Arial" w:eastAsia="Arial" w:hAnsi="Arial"/>
                <w:b/>
                <w:bCs/>
                <w:color w:val="FFFFFF"/>
                <w:sz w:val="30"/>
                <w:szCs w:val="30"/>
              </w:rPr>
              <w:t xml:space="preserve">+24,9%</w:t>
            </w:r>
          </w:p>
          <w:p>
            <w:pPr>
              <w:jc w:val="center"/>
            </w:pPr>
            <w:r>
              <w:rPr>
                <w:rFonts w:ascii="Arial" w:cs="Arial" w:eastAsia="Arial" w:hAnsi="Arial"/>
                <w:color w:val="B0C4DE"/>
                <w:sz w:val="16"/>
                <w:szCs w:val="16"/>
              </w:rPr>
              <w:t xml:space="preserve">Kenaikan Harga Sekunder 2020→2025</w:t>
            </w:r>
          </w:p>
        </w:tc>
      </w:tr>
    </w:tbl>
    <w:p>
      <w:pPr>
        <w:spacing w:before="600"/>
      </w:pPr>
      <w:r>
        <w:br w:type="page"/>
      </w:r>
    </w:p>
    <w:p>
      <w:pPr>
        <w:pStyle w:val="Heading1"/>
        <w:spacing w:after="200" w:before="400"/>
      </w:pPr>
      <w:r>
        <w:rPr>
          <w:rFonts w:ascii="Arial" w:cs="Arial" w:eastAsia="Arial" w:hAnsi="Arial"/>
          <w:b/>
          <w:bCs/>
          <w:color w:val="1E3A5F"/>
          <w:sz w:val="32"/>
          <w:szCs w:val="32"/>
        </w:rPr>
        <w:t xml:space="preserve">1. Ringkasan Eksekutif</w:t>
      </w:r>
    </w:p>
    <w:p>
      <w:pPr>
        <w:spacing w:after="120"/>
      </w:pPr>
      <w:r>
        <w:rPr>
          <w:rFonts w:ascii="Arial" w:cs="Arial" w:eastAsia="Arial" w:hAnsi="Arial"/>
          <w:sz w:val="22"/>
          <w:szCs w:val="22"/>
        </w:rPr>
        <w:t xml:space="preserve">Data pasar properti Berlin di Bezirk Mitte mencakup dua ortsteil premium — Mitte (Ort) dan Tiergarten — dari Januari 2020 hingga April 2026. Laporan ini menganalisis tren harga properti sekunder, properti baru, dan kaltmiete (sewa bersih) untuk memberikan gambaran komprehensif kepada investor, pengembang, dan pemangku kepentingan pasar properti Berlin.</w:t>
      </w:r>
    </w:p>
    <w:p>
      <w:pPr>
        <w:spacing w:after="120"/>
      </w:pPr>
      <w:r>
        <w:rPr>
          <w:rFonts w:ascii="Arial" w:cs="Arial" w:eastAsia="Arial" w:hAnsi="Arial"/>
          <w:sz w:val="22"/>
          <w:szCs w:val="22"/>
        </w:rPr>
        <w:t xml:space="preserve">Temuan utama menunjukkan pertumbuhan signifikan di seluruh segmen, dengan kaltmiete mencatat kenaikan tertinggi sebesar +45,8% dalam lima tahun, jauh melampaui inflasi umum. Harga properti sekunder tumbuh +24,9% sementara properti baru tumbuh +23,8% pada periode yang sama.</w:t>
      </w:r>
    </w:p>
    <w:p>
      <w:pPr>
        <w:pStyle w:val="Heading2"/>
        <w:spacing w:after="120" w:before="280"/>
      </w:pPr>
      <w:r>
        <w:rPr>
          <w:rFonts w:ascii="Arial" w:cs="Arial" w:eastAsia="Arial" w:hAnsi="Arial"/>
          <w:b/>
          <w:bCs/>
          <w:color w:val="2E86AB"/>
          <w:sz w:val="26"/>
          <w:szCs w:val="26"/>
        </w:rPr>
        <w:t xml:space="preserve">1.1 Poin-Poin Kunci</w:t>
      </w:r>
    </w:p>
    <w:p>
      <w:pPr>
        <w:pStyle w:val="ListParagraph"/>
        <w:numPr>
          <w:ilvl w:val="0"/>
          <w:numId w:val="2"/>
        </w:numPr>
      </w:pPr>
      <w:r>
        <w:rPr>
          <w:rFonts w:ascii="Arial" w:cs="Arial" w:eastAsia="Arial" w:hAnsi="Arial"/>
          <w:sz w:val="22"/>
          <w:szCs w:val="22"/>
        </w:rPr>
        <w:t xml:space="preserve">Bezirk Mitte adalah salah satu kawasan paling premium di Berlin dengan kiez_premium kategori 'high'.</w:t>
      </w:r>
    </w:p>
    <w:p>
      <w:pPr>
        <w:pStyle w:val="ListParagraph"/>
        <w:numPr>
          <w:ilvl w:val="0"/>
          <w:numId w:val="2"/>
        </w:numPr>
      </w:pPr>
      <w:r>
        <w:rPr>
          <w:rFonts w:ascii="Arial" w:cs="Arial" w:eastAsia="Arial" w:hAnsi="Arial"/>
          <w:sz w:val="22"/>
          <w:szCs w:val="22"/>
        </w:rPr>
        <w:t xml:space="preserve">Harga properti sekunder mencapai puncak €10.014/m² pada September 2025.</w:t>
      </w:r>
    </w:p>
    <w:p>
      <w:pPr>
        <w:pStyle w:val="ListParagraph"/>
        <w:numPr>
          <w:ilvl w:val="0"/>
          <w:numId w:val="2"/>
        </w:numPr>
      </w:pPr>
      <w:r>
        <w:rPr>
          <w:rFonts w:ascii="Arial" w:cs="Arial" w:eastAsia="Arial" w:hAnsi="Arial"/>
          <w:sz w:val="22"/>
          <w:szCs w:val="22"/>
        </w:rPr>
        <w:t xml:space="preserve">Tahun 2022 menjadi titik infleksi dengan lonjakan harga tertajam (+14,8% yoy) akibat tekanan inflasi pasca-pandemi dan dampak konflik Rusia-Ukraina.</w:t>
      </w:r>
    </w:p>
    <w:p>
      <w:pPr>
        <w:pStyle w:val="ListParagraph"/>
        <w:numPr>
          <w:ilvl w:val="0"/>
          <w:numId w:val="2"/>
        </w:numPr>
      </w:pPr>
      <w:r>
        <w:rPr>
          <w:rFonts w:ascii="Arial" w:cs="Arial" w:eastAsia="Arial" w:hAnsi="Arial"/>
          <w:sz w:val="22"/>
          <w:szCs w:val="22"/>
        </w:rPr>
        <w:t xml:space="preserve">Pada 2023–2024, terjadi koreksi ringan pada harga beli namun kaltmiete terus naik konsisten, mencerminkan permintaan sewa yang kuat.</w:t>
      </w:r>
    </w:p>
    <w:p>
      <w:pPr>
        <w:pStyle w:val="ListParagraph"/>
        <w:numPr>
          <w:ilvl w:val="0"/>
          <w:numId w:val="2"/>
        </w:numPr>
      </w:pPr>
      <w:r>
        <w:rPr>
          <w:rFonts w:ascii="Arial" w:cs="Arial" w:eastAsia="Arial" w:hAnsi="Arial"/>
          <w:sz w:val="22"/>
          <w:szCs w:val="22"/>
        </w:rPr>
        <w:t xml:space="preserve">Sepanjang 2025, pasar kembali menguat dengan semua indikator mencatat rekor tertinggi baru.</w:t>
      </w:r>
    </w:p>
    <w:p>
      <w:r>
        <w:br w:type="page"/>
      </w:r>
    </w:p>
    <w:p>
      <w:pPr>
        <w:pStyle w:val="Heading1"/>
        <w:spacing w:after="200" w:before="400"/>
      </w:pPr>
      <w:r>
        <w:rPr>
          <w:rFonts w:ascii="Arial" w:cs="Arial" w:eastAsia="Arial" w:hAnsi="Arial"/>
          <w:b/>
          <w:bCs/>
          <w:color w:val="1E3A5F"/>
          <w:sz w:val="32"/>
          <w:szCs w:val="32"/>
        </w:rPr>
        <w:t xml:space="preserve">2. Analisis Tren Tahunan — Mitte (Ort)</w:t>
      </w:r>
    </w:p>
    <w:p>
      <w:pPr>
        <w:spacing w:after="120"/>
      </w:pPr>
      <w:r>
        <w:rPr>
          <w:rFonts w:ascii="Arial" w:cs="Arial" w:eastAsia="Arial" w:hAnsi="Arial"/>
          <w:sz w:val="22"/>
          <w:szCs w:val="22"/>
        </w:rPr>
        <w:t xml:space="preserve">Tabel berikut merangkum rata-rata tahunan indikator utama untuk ortsteil Mitte (Ort), yang merupakan pusat kota Berlin dan kawasan dengan aktivitas listing tertinggi dalam dataset 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560"/>
        <w:gridCol w:w="1560"/>
        <w:gridCol w:w="1560"/>
        <w:gridCol w:w="1560"/>
        <w:gridCol w:w="1680"/>
      </w:tblGrid>
      <w:tr>
        <w:trPr>
          <w:tblHeader/>
        </w:trPr>
        <w:tc>
          <w:tcPr>
            <w:tcW w:type="dxa" w:w="144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Tahun</w:t>
            </w:r>
          </w:p>
        </w:tc>
        <w:tc>
          <w:tcPr>
            <w:tcW w:type="dxa" w:w="156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Harga Sekunder (€/m²)</w:t>
            </w:r>
          </w:p>
        </w:tc>
        <w:tc>
          <w:tcPr>
            <w:tcW w:type="dxa" w:w="156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Harga Baru (€/m²)</w:t>
            </w:r>
          </w:p>
        </w:tc>
        <w:tc>
          <w:tcPr>
            <w:tcW w:type="dxa" w:w="156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Kaltmiete (€/m²/bln)</w:t>
            </w:r>
          </w:p>
        </w:tc>
        <w:tc>
          <w:tcPr>
            <w:tcW w:type="dxa" w:w="156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Kaltmiete Tahunan (€/m²)</w:t>
            </w:r>
          </w:p>
        </w:tc>
        <w:tc>
          <w:tcPr>
            <w:tcW w:type="dxa" w:w="168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Perubahan Harga Sekunder</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2020</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€7,637</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€9,677</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€19.54</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€234</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0.0%</w:t>
            </w:r>
          </w:p>
        </w:tc>
      </w:tr>
      <w:tr>
        <w:tc>
          <w:tcPr>
            <w:tcW w:type="dxa" w:w="14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sz w:val="18"/>
                <w:szCs w:val="18"/>
              </w:rPr>
              <w:t xml:space="preserve">2021</w:t>
            </w:r>
          </w:p>
        </w:tc>
        <w:tc>
          <w:tcPr>
            <w:tcW w:type="dxa" w:w="156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€8,253</w:t>
            </w:r>
          </w:p>
        </w:tc>
        <w:tc>
          <w:tcPr>
            <w:tcW w:type="dxa" w:w="156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€10,308</w:t>
            </w:r>
          </w:p>
        </w:tc>
        <w:tc>
          <w:tcPr>
            <w:tcW w:type="dxa" w:w="156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€20.92</w:t>
            </w:r>
          </w:p>
        </w:tc>
        <w:tc>
          <w:tcPr>
            <w:tcW w:type="dxa" w:w="156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€251</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8.1%</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2022</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€9,473</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€12,115</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€23.88</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€287</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24.0%</w:t>
            </w:r>
          </w:p>
        </w:tc>
      </w:tr>
      <w:tr>
        <w:tc>
          <w:tcPr>
            <w:tcW w:type="dxa" w:w="14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sz w:val="18"/>
                <w:szCs w:val="18"/>
              </w:rPr>
              <w:t xml:space="preserve">2023</w:t>
            </w:r>
          </w:p>
        </w:tc>
        <w:tc>
          <w:tcPr>
            <w:tcW w:type="dxa" w:w="156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€9,182</w:t>
            </w:r>
          </w:p>
        </w:tc>
        <w:tc>
          <w:tcPr>
            <w:tcW w:type="dxa" w:w="156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€11,457</w:t>
            </w:r>
          </w:p>
        </w:tc>
        <w:tc>
          <w:tcPr>
            <w:tcW w:type="dxa" w:w="156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€25.72</w:t>
            </w:r>
          </w:p>
        </w:tc>
        <w:tc>
          <w:tcPr>
            <w:tcW w:type="dxa" w:w="156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€309</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20.2%</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2024</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€9,058</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€11,486</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€26.55</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€319</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18.6%</w:t>
            </w:r>
          </w:p>
        </w:tc>
      </w:tr>
      <w:tr>
        <w:tc>
          <w:tcPr>
            <w:tcW w:type="dxa" w:w="14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sz w:val="18"/>
                <w:szCs w:val="18"/>
              </w:rPr>
              <w:t xml:space="preserve">2025</w:t>
            </w:r>
          </w:p>
        </w:tc>
        <w:tc>
          <w:tcPr>
            <w:tcW w:type="dxa" w:w="156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€9,541</w:t>
            </w:r>
          </w:p>
        </w:tc>
        <w:tc>
          <w:tcPr>
            <w:tcW w:type="dxa" w:w="156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€11,982</w:t>
            </w:r>
          </w:p>
        </w:tc>
        <w:tc>
          <w:tcPr>
            <w:tcW w:type="dxa" w:w="156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€28.49</w:t>
            </w:r>
          </w:p>
        </w:tc>
        <w:tc>
          <w:tcPr>
            <w:tcW w:type="dxa" w:w="156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€342</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24.9%</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2026 (Jan–Apr)</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€9,643</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€12,086</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€28.92</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€347</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t>
            </w:r>
          </w:p>
        </w:tc>
      </w:tr>
    </w:tbl>
    <w:p>
      <w:pPr>
        <w:spacing w:after="120" w:before="120"/>
      </w:pPr>
      <w:r>
        <w:rPr>
          <w:rFonts w:ascii="Arial" w:cs="Arial" w:eastAsia="Arial" w:hAnsi="Arial"/>
          <w:i/>
          <w:iCs/>
          <w:color w:val="64748B"/>
          <w:sz w:val="18"/>
          <w:szCs w:val="18"/>
        </w:rPr>
        <w:t xml:space="preserve">* 2026 hanya mencakup data Januari–April.</w:t>
      </w:r>
    </w:p>
    <w:p>
      <w:pPr>
        <w:pStyle w:val="Heading2"/>
        <w:spacing w:after="120" w:before="280"/>
      </w:pPr>
      <w:r>
        <w:rPr>
          <w:rFonts w:ascii="Arial" w:cs="Arial" w:eastAsia="Arial" w:hAnsi="Arial"/>
          <w:b/>
          <w:bCs/>
          <w:color w:val="2E86AB"/>
          <w:sz w:val="26"/>
          <w:szCs w:val="26"/>
        </w:rPr>
        <w:t xml:space="preserve">2.1 Fase-Fase Pasar</w:t>
      </w:r>
    </w:p>
    <w:p>
      <w:pPr>
        <w:spacing w:after="120"/>
      </w:pPr>
      <w:r>
        <w:rPr>
          <w:rFonts w:ascii="Arial" w:cs="Arial" w:eastAsia="Arial" w:hAnsi="Arial"/>
          <w:sz w:val="22"/>
          <w:szCs w:val="22"/>
        </w:rPr>
        <w:t xml:space="preserve">Berdasarkan data tahunan, dapat diidentifikasi empat fase pasar:</w:t>
      </w:r>
    </w:p>
    <w:p>
      <w:pPr>
        <w:pStyle w:val="ListParagraph"/>
        <w:numPr>
          <w:ilvl w:val="0"/>
          <w:numId w:val="3"/>
        </w:numPr>
      </w:pPr>
      <w:r>
        <w:rPr>
          <w:rFonts w:ascii="Arial" w:cs="Arial" w:eastAsia="Arial" w:hAnsi="Arial"/>
          <w:b/>
          <w:bCs/>
          <w:sz w:val="22"/>
          <w:szCs w:val="22"/>
        </w:rPr>
        <w:t xml:space="preserve">2020–2021: Fase Stabilisasi Pandemi</w:t>
      </w:r>
      <w:r>
        <w:rPr>
          <w:rFonts w:ascii="Arial" w:cs="Arial" w:eastAsia="Arial" w:hAnsi="Arial"/>
          <w:sz w:val="22"/>
          <w:szCs w:val="22"/>
        </w:rPr>
        <w:t xml:space="preserve"> — Harga tumbuh moderat (+8,1% dalam 2 tahun). Pandemi COVID-19 menciptakan ketidakpastian namun tidak mengguncang fundamental pasar Mitte yang kuat.</w:t>
      </w:r>
    </w:p>
    <w:p>
      <w:pPr>
        <w:pStyle w:val="ListParagraph"/>
        <w:numPr>
          <w:ilvl w:val="0"/>
          <w:numId w:val="3"/>
        </w:numPr>
      </w:pPr>
      <w:r>
        <w:rPr>
          <w:rFonts w:ascii="Arial" w:cs="Arial" w:eastAsia="Arial" w:hAnsi="Arial"/>
          <w:b/>
          <w:bCs/>
          <w:sz w:val="22"/>
          <w:szCs w:val="22"/>
        </w:rPr>
        <w:t xml:space="preserve">2022: Fase Lonjakan</w:t>
      </w:r>
      <w:r>
        <w:rPr>
          <w:rFonts w:ascii="Arial" w:cs="Arial" w:eastAsia="Arial" w:hAnsi="Arial"/>
          <w:sz w:val="22"/>
          <w:szCs w:val="22"/>
        </w:rPr>
        <w:t xml:space="preserve"> — Harga sekunder melonjak ke €9.473/m² (+14,8%), tertinggi dalam dataset. Didorong oleh inflasi tinggi, tekanan biaya konstruksi, dan arus masuk investasi safe-haven.</w:t>
      </w:r>
    </w:p>
    <w:p>
      <w:pPr>
        <w:pStyle w:val="ListParagraph"/>
        <w:numPr>
          <w:ilvl w:val="0"/>
          <w:numId w:val="3"/>
        </w:numPr>
      </w:pPr>
      <w:r>
        <w:rPr>
          <w:rFonts w:ascii="Arial" w:cs="Arial" w:eastAsia="Arial" w:hAnsi="Arial"/>
          <w:b/>
          <w:bCs/>
          <w:sz w:val="22"/>
          <w:szCs w:val="22"/>
        </w:rPr>
        <w:t xml:space="preserve">2023–2024: Fase Koreksi Parsial</w:t>
      </w:r>
      <w:r>
        <w:rPr>
          <w:rFonts w:ascii="Arial" w:cs="Arial" w:eastAsia="Arial" w:hAnsi="Arial"/>
          <w:sz w:val="22"/>
          <w:szCs w:val="22"/>
        </w:rPr>
        <w:t xml:space="preserve"> — Harga beli sedikit terkoreksi (-3,1% untuk sekunder), namun kaltmiete terus naik +10,8%. Suku bunga tinggi ECB menekan daya beli pembeli rumah.</w:t>
      </w:r>
    </w:p>
    <w:p>
      <w:pPr>
        <w:pStyle w:val="ListParagraph"/>
        <w:numPr>
          <w:ilvl w:val="0"/>
          <w:numId w:val="3"/>
        </w:numPr>
      </w:pPr>
      <w:r>
        <w:rPr>
          <w:rFonts w:ascii="Arial" w:cs="Arial" w:eastAsia="Arial" w:hAnsi="Arial"/>
          <w:b/>
          <w:bCs/>
          <w:sz w:val="22"/>
          <w:szCs w:val="22"/>
        </w:rPr>
        <w:t xml:space="preserve">2025–2026: Fase Pemulihan dan Ekspansi</w:t>
      </w:r>
      <w:r>
        <w:rPr>
          <w:rFonts w:ascii="Arial" w:cs="Arial" w:eastAsia="Arial" w:hAnsi="Arial"/>
          <w:sz w:val="22"/>
          <w:szCs w:val="22"/>
        </w:rPr>
        <w:t xml:space="preserve"> — Harga sekunder kembali ke €9.541/m² (+5,3% vs 2024) dan kaltmiete mencapai €28,49/m²/bulan. Momentum positif berlanjut ke kuartal pertama 2026.</w:t>
      </w:r>
    </w:p>
    <w:p>
      <w:r>
        <w:br w:type="page"/>
      </w:r>
    </w:p>
    <w:p>
      <w:pPr>
        <w:pStyle w:val="Heading1"/>
        <w:spacing w:after="200" w:before="400"/>
      </w:pPr>
      <w:r>
        <w:rPr>
          <w:rFonts w:ascii="Arial" w:cs="Arial" w:eastAsia="Arial" w:hAnsi="Arial"/>
          <w:b/>
          <w:bCs/>
          <w:color w:val="1E3A5F"/>
          <w:sz w:val="32"/>
          <w:szCs w:val="32"/>
        </w:rPr>
        <w:t xml:space="preserve">3. Data Bulanan Terkini (2024–2026)</w:t>
      </w:r>
    </w:p>
    <w:p>
      <w:pPr>
        <w:spacing w:after="120"/>
      </w:pPr>
      <w:r>
        <w:rPr>
          <w:rFonts w:ascii="Arial" w:cs="Arial" w:eastAsia="Arial" w:hAnsi="Arial"/>
          <w:sz w:val="22"/>
          <w:szCs w:val="22"/>
        </w:rPr>
        <w:t xml:space="preserve">Tabel berikut menyajikan data bulanan terperinci dari Januari 2024 hingga April 2026 untuk membantu analisis momentum pasar jangka pendek.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1800"/>
        <w:gridCol w:w="2520"/>
      </w:tblGrid>
      <w:tr>
        <w:trPr>
          <w:tblHeader/>
        </w:trPr>
        <w:tc>
          <w:tcPr>
            <w:tcW w:type="dxa" w:w="144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Periode</w:t>
            </w:r>
          </w:p>
        </w:tc>
        <w:tc>
          <w:tcPr>
            <w:tcW w:type="dxa" w:w="180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Harga Sekunder (€/m²)</w:t>
            </w:r>
          </w:p>
        </w:tc>
        <w:tc>
          <w:tcPr>
            <w:tcW w:type="dxa" w:w="180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Harga Baru (€/m²)</w:t>
            </w:r>
          </w:p>
        </w:tc>
        <w:tc>
          <w:tcPr>
            <w:tcW w:type="dxa" w:w="180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Kaltmiete (€/m²/bln)</w:t>
            </w:r>
          </w:p>
        </w:tc>
        <w:tc>
          <w:tcPr>
            <w:tcW w:type="dxa" w:w="252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Listing</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2024-01</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€9,080</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€11,602</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€26.48</w:t>
            </w:r>
          </w:p>
        </w:tc>
        <w:tc>
          <w:tcPr>
            <w:tcW w:type="dxa" w:w="25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sz w:val="18"/>
                <w:szCs w:val="18"/>
              </w:rPr>
              <w:t xml:space="preserve">2024-02</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€8,615</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€11,000</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€25.13</w:t>
            </w:r>
          </w:p>
        </w:tc>
        <w:tc>
          <w:tcPr>
            <w:tcW w:type="dxa" w:w="252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2024-03</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€9,245</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€11,460</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€26.96</w:t>
            </w:r>
          </w:p>
        </w:tc>
        <w:tc>
          <w:tcPr>
            <w:tcW w:type="dxa" w:w="25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sz w:val="18"/>
                <w:szCs w:val="18"/>
              </w:rPr>
              <w:t xml:space="preserve">2024-04</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€8,761</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€10,788</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€25.55</w:t>
            </w:r>
          </w:p>
        </w:tc>
        <w:tc>
          <w:tcPr>
            <w:tcW w:type="dxa" w:w="252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2024-05</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€9,138</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€11,624</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€26.65</w:t>
            </w:r>
          </w:p>
        </w:tc>
        <w:tc>
          <w:tcPr>
            <w:tcW w:type="dxa" w:w="25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sz w:val="18"/>
                <w:szCs w:val="18"/>
              </w:rPr>
              <w:t xml:space="preserve">2024-06</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€8,947</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€11,495</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€26.10</w:t>
            </w:r>
          </w:p>
        </w:tc>
        <w:tc>
          <w:tcPr>
            <w:tcW w:type="dxa" w:w="252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2024-07</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€8,607</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€11,184</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€25.35</w:t>
            </w:r>
          </w:p>
        </w:tc>
        <w:tc>
          <w:tcPr>
            <w:tcW w:type="dxa" w:w="25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sz w:val="18"/>
                <w:szCs w:val="18"/>
              </w:rPr>
              <w:t xml:space="preserve">2024-08</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€9,078</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€11,477</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€26.74</w:t>
            </w:r>
          </w:p>
        </w:tc>
        <w:tc>
          <w:tcPr>
            <w:tcW w:type="dxa" w:w="252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2024-09</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€9,483</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€11,731</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€27.93</w:t>
            </w:r>
          </w:p>
        </w:tc>
        <w:tc>
          <w:tcPr>
            <w:tcW w:type="dxa" w:w="25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sz w:val="18"/>
                <w:szCs w:val="18"/>
              </w:rPr>
              <w:t xml:space="preserve">2024-10</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€9,384</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€12,405</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€27.64</w:t>
            </w:r>
          </w:p>
        </w:tc>
        <w:tc>
          <w:tcPr>
            <w:tcW w:type="dxa" w:w="252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2024-11</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€9,373</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€11,716</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€27.61</w:t>
            </w:r>
          </w:p>
        </w:tc>
        <w:tc>
          <w:tcPr>
            <w:tcW w:type="dxa" w:w="25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sz w:val="18"/>
                <w:szCs w:val="18"/>
              </w:rPr>
              <w:t xml:space="preserve">2024-12</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€8,979</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€11,345</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€26.44</w:t>
            </w:r>
          </w:p>
        </w:tc>
        <w:tc>
          <w:tcPr>
            <w:tcW w:type="dxa" w:w="252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2025-01</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€9,116</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€11,275</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€27.10</w:t>
            </w:r>
          </w:p>
        </w:tc>
        <w:tc>
          <w:tcPr>
            <w:tcW w:type="dxa" w:w="25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sz w:val="18"/>
                <w:szCs w:val="18"/>
              </w:rPr>
              <w:t xml:space="preserve">2025-02</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€9,598</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€12,530</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€28.53</w:t>
            </w:r>
          </w:p>
        </w:tc>
        <w:tc>
          <w:tcPr>
            <w:tcW w:type="dxa" w:w="252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2025-03</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€9,307</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€11,304</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€27.67</w:t>
            </w:r>
          </w:p>
        </w:tc>
        <w:tc>
          <w:tcPr>
            <w:tcW w:type="dxa" w:w="25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sz w:val="18"/>
                <w:szCs w:val="18"/>
              </w:rPr>
              <w:t xml:space="preserve">2025-04</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€9,252</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€11,760</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€27.50</w:t>
            </w:r>
          </w:p>
        </w:tc>
        <w:tc>
          <w:tcPr>
            <w:tcW w:type="dxa" w:w="252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2025-05</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€9,430</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€11,711</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€28.03</w:t>
            </w:r>
          </w:p>
        </w:tc>
        <w:tc>
          <w:tcPr>
            <w:tcW w:type="dxa" w:w="25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sz w:val="18"/>
                <w:szCs w:val="18"/>
              </w:rPr>
              <w:t xml:space="preserve">2025-06</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€9,829</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€12,264</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€29.22</w:t>
            </w:r>
          </w:p>
        </w:tc>
        <w:tc>
          <w:tcPr>
            <w:tcW w:type="dxa" w:w="252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2025-07</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€9,559</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€11,736</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€28.67</w:t>
            </w:r>
          </w:p>
        </w:tc>
        <w:tc>
          <w:tcPr>
            <w:tcW w:type="dxa" w:w="25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sz w:val="18"/>
                <w:szCs w:val="18"/>
              </w:rPr>
              <w:t xml:space="preserve">2025-08</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€9,873</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€12,744</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€29.61</w:t>
            </w:r>
          </w:p>
        </w:tc>
        <w:tc>
          <w:tcPr>
            <w:tcW w:type="dxa" w:w="252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2025-09</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€10,014</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€12,696</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€30.03</w:t>
            </w:r>
          </w:p>
        </w:tc>
        <w:tc>
          <w:tcPr>
            <w:tcW w:type="dxa" w:w="25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sz w:val="18"/>
                <w:szCs w:val="18"/>
              </w:rPr>
              <w:t xml:space="preserve">2025-10</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€9,559</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€11,955</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€28.67</w:t>
            </w:r>
          </w:p>
        </w:tc>
        <w:tc>
          <w:tcPr>
            <w:tcW w:type="dxa" w:w="252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2025-11</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€9,421</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€11,526</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€28.26</w:t>
            </w:r>
          </w:p>
        </w:tc>
        <w:tc>
          <w:tcPr>
            <w:tcW w:type="dxa" w:w="25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sz w:val="18"/>
                <w:szCs w:val="18"/>
              </w:rPr>
              <w:t xml:space="preserve">2025-12</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€9,529</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€12,281</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€28.58</w:t>
            </w:r>
          </w:p>
        </w:tc>
        <w:tc>
          <w:tcPr>
            <w:tcW w:type="dxa" w:w="252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2026-01</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€9,825</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€12,194</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€29.47</w:t>
            </w:r>
          </w:p>
        </w:tc>
        <w:tc>
          <w:tcPr>
            <w:tcW w:type="dxa" w:w="25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sz w:val="18"/>
                <w:szCs w:val="18"/>
              </w:rPr>
              <w:t xml:space="preserve">2026-02</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€9,663</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€12,072</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€28.98</w:t>
            </w:r>
          </w:p>
        </w:tc>
        <w:tc>
          <w:tcPr>
            <w:tcW w:type="dxa" w:w="252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2026-03</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€9,729</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€12,045</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€29.18</w:t>
            </w:r>
          </w:p>
        </w:tc>
        <w:tc>
          <w:tcPr>
            <w:tcW w:type="dxa" w:w="25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4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sz w:val="18"/>
                <w:szCs w:val="18"/>
              </w:rPr>
              <w:t xml:space="preserve">2026-04</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€9,356</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€12,034</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€28.06</w:t>
            </w:r>
          </w:p>
        </w:tc>
        <w:tc>
          <w:tcPr>
            <w:tcW w:type="dxa" w:w="252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w:t>
            </w:r>
          </w:p>
        </w:tc>
      </w:tr>
    </w:tbl>
    <w:p>
      <w:pPr>
        <w:spacing w:before="400"/>
      </w:pPr>
      <w:r>
        <w:br w:type="page"/>
      </w:r>
    </w:p>
    <w:p>
      <w:pPr>
        <w:pStyle w:val="Heading1"/>
        <w:spacing w:after="200" w:before="400"/>
      </w:pPr>
      <w:r>
        <w:rPr>
          <w:rFonts w:ascii="Arial" w:cs="Arial" w:eastAsia="Arial" w:hAnsi="Arial"/>
          <w:b/>
          <w:bCs/>
          <w:color w:val="1E3A5F"/>
          <w:sz w:val="32"/>
          <w:szCs w:val="32"/>
        </w:rPr>
        <w:t xml:space="preserve">4. Perbandingan: Mitte (Ort) vs Tiergarten</w:t>
      </w:r>
    </w:p>
    <w:p>
      <w:pPr>
        <w:spacing w:after="120"/>
      </w:pPr>
      <w:r>
        <w:rPr>
          <w:rFonts w:ascii="Arial" w:cs="Arial" w:eastAsia="Arial" w:hAnsi="Arial"/>
          <w:sz w:val="22"/>
          <w:szCs w:val="22"/>
        </w:rPr>
        <w:t xml:space="preserve">Dataset mencakup data Tiergarten hanya untuk periode Januari–Mei 2020, sehingga perbandingan dilakukan pada periode yang sama.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Indikator</w:t>
            </w:r>
          </w:p>
        </w:tc>
        <w:tc>
          <w:tcPr>
            <w:tcW w:type="dxa" w:w="234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Mitte (Ort) Jan–Mei 2020</w:t>
            </w:r>
          </w:p>
        </w:tc>
        <w:tc>
          <w:tcPr>
            <w:tcW w:type="dxa" w:w="234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Tiergarten Jan–Mei 2020</w:t>
            </w:r>
          </w:p>
        </w:tc>
        <w:tc>
          <w:tcPr>
            <w:tcW w:type="dxa" w:w="234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Selisih</w:t>
            </w:r>
          </w:p>
        </w:tc>
      </w:tr>
      <w:tr>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Harga Sekunder</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€7.450/m²</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€7.904/m²</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+€454 (+6,1%)</w:t>
            </w:r>
          </w:p>
        </w:tc>
      </w:tr>
      <w:tr>
        <w:tc>
          <w:tcPr>
            <w:tcW w:type="dxa" w:w="23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sz w:val="18"/>
                <w:szCs w:val="18"/>
              </w:rPr>
              <w:t xml:space="preserve">Harga Baru</w:t>
            </w:r>
          </w:p>
        </w:tc>
        <w:tc>
          <w:tcPr>
            <w:tcW w:type="dxa" w:w="23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€9.623/m²</w:t>
            </w:r>
          </w:p>
        </w:tc>
        <w:tc>
          <w:tcPr>
            <w:tcW w:type="dxa" w:w="23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€9.931/m²</w:t>
            </w:r>
          </w:p>
        </w:tc>
        <w:tc>
          <w:tcPr>
            <w:tcW w:type="dxa" w:w="23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+€308 (+3,2%)</w:t>
            </w:r>
          </w:p>
        </w:tc>
      </w:tr>
      <w:tr>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Kaltmiete</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€19,85/m²/bln</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€21,07/m²/bln</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+€1,22 (+6,1%)</w:t>
            </w:r>
          </w:p>
        </w:tc>
      </w:tr>
    </w:tbl>
    <w:p>
      <w:pPr>
        <w:spacing w:after="120"/>
      </w:pPr>
      <w:r>
        <w:rPr>
          <w:rFonts w:ascii="Arial" w:cs="Arial" w:eastAsia="Arial" w:hAnsi="Arial"/>
          <w:sz w:val="22"/>
          <w:szCs w:val="22"/>
        </w:rPr>
        <w:t xml:space="preserve">Tiergarten secara konsisten menetapkan harga premium sebesar 6–7% di atas Mitte (Ort), mencerminkan lokasi strategisnya yang berdekatan dengan Bundestag, Kedutaan Besar, dan Tiergarten Park.</w:t>
      </w:r>
    </w:p>
    <w:p>
      <w:r>
        <w:br w:type="page"/>
      </w:r>
    </w:p>
    <w:p>
      <w:pPr>
        <w:pStyle w:val="Heading1"/>
        <w:spacing w:after="200" w:before="400"/>
      </w:pPr>
      <w:r>
        <w:rPr>
          <w:rFonts w:ascii="Arial" w:cs="Arial" w:eastAsia="Arial" w:hAnsi="Arial"/>
          <w:b/>
          <w:bCs/>
          <w:color w:val="1E3A5F"/>
          <w:sz w:val="32"/>
          <w:szCs w:val="32"/>
        </w:rPr>
        <w:t xml:space="preserve">5. Analisis Yield Investasi</w:t>
      </w:r>
    </w:p>
    <w:p>
      <w:pPr>
        <w:spacing w:after="120"/>
      </w:pPr>
      <w:r>
        <w:rPr>
          <w:rFonts w:ascii="Arial" w:cs="Arial" w:eastAsia="Arial" w:hAnsi="Arial"/>
          <w:sz w:val="22"/>
          <w:szCs w:val="22"/>
        </w:rPr>
        <w:t xml:space="preserve">Gross rental yield dihitung berdasarkan kaltmiete tahunan dibagi harga properti sekunder. Angka ini memberikan gambaran daya tarik investasi properti buy-to-let di kawasan Mitte.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000"/>
        <w:gridCol w:w="1560"/>
      </w:tblGrid>
      <w:tr>
        <w:trPr>
          <w:tblHeader/>
        </w:trPr>
        <w:tc>
          <w:tcPr>
            <w:tcW w:type="dxa" w:w="180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Tahun</w:t>
            </w:r>
          </w:p>
        </w:tc>
        <w:tc>
          <w:tcPr>
            <w:tcW w:type="dxa" w:w="200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Harga Sekunder (€/m²)</w:t>
            </w:r>
          </w:p>
        </w:tc>
        <w:tc>
          <w:tcPr>
            <w:tcW w:type="dxa" w:w="200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Kaltmiete Tahunan (€/m²)</w:t>
            </w:r>
          </w:p>
        </w:tc>
        <w:tc>
          <w:tcPr>
            <w:tcW w:type="dxa" w:w="200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Gross Yield</w:t>
            </w:r>
          </w:p>
        </w:tc>
        <w:tc>
          <w:tcPr>
            <w:tcW w:type="dxa" w:w="156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Perubahan Yield</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2020</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€7,637</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€234</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3.07%</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sz w:val="18"/>
                <w:szCs w:val="18"/>
              </w:rPr>
              <w:t xml:space="preserve">2021</w:t>
            </w:r>
          </w:p>
        </w:tc>
        <w:tc>
          <w:tcPr>
            <w:tcW w:type="dxa" w:w="20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€8,253</w:t>
            </w:r>
          </w:p>
        </w:tc>
        <w:tc>
          <w:tcPr>
            <w:tcW w:type="dxa" w:w="20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€251</w:t>
            </w:r>
          </w:p>
        </w:tc>
        <w:tc>
          <w:tcPr>
            <w:tcW w:type="dxa" w:w="20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3.04%</w:t>
            </w:r>
          </w:p>
        </w:tc>
        <w:tc>
          <w:tcPr>
            <w:tcW w:type="dxa" w:w="156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-0,16pp</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2022</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€9,473</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€287</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3.03%</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+0,24pp</w:t>
            </w:r>
          </w:p>
        </w:tc>
      </w:tr>
      <w:tr>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sz w:val="18"/>
                <w:szCs w:val="18"/>
              </w:rPr>
              <w:t xml:space="preserve">2023</w:t>
            </w:r>
          </w:p>
        </w:tc>
        <w:tc>
          <w:tcPr>
            <w:tcW w:type="dxa" w:w="20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€9,182</w:t>
            </w:r>
          </w:p>
        </w:tc>
        <w:tc>
          <w:tcPr>
            <w:tcW w:type="dxa" w:w="20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€309</w:t>
            </w:r>
          </w:p>
        </w:tc>
        <w:tc>
          <w:tcPr>
            <w:tcW w:type="dxa" w:w="20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3.36%</w:t>
            </w:r>
          </w:p>
        </w:tc>
        <w:tc>
          <w:tcPr>
            <w:tcW w:type="dxa" w:w="156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+0,22pp</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2024</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€9,058</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€319</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3.52%</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+0,05pp</w:t>
            </w:r>
          </w:p>
        </w:tc>
      </w:tr>
      <w:tr>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sz w:val="18"/>
                <w:szCs w:val="18"/>
              </w:rPr>
              <w:t xml:space="preserve">2025</w:t>
            </w:r>
          </w:p>
        </w:tc>
        <w:tc>
          <w:tcPr>
            <w:tcW w:type="dxa" w:w="20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€9,541</w:t>
            </w:r>
          </w:p>
        </w:tc>
        <w:tc>
          <w:tcPr>
            <w:tcW w:type="dxa" w:w="20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€342</w:t>
            </w:r>
          </w:p>
        </w:tc>
        <w:tc>
          <w:tcPr>
            <w:tcW w:type="dxa" w:w="20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3.58%</w:t>
            </w:r>
          </w:p>
        </w:tc>
        <w:tc>
          <w:tcPr>
            <w:tcW w:type="dxa" w:w="156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sz w:val="18"/>
                <w:szCs w:val="18"/>
              </w:rPr>
              <w:t xml:space="preserve">+0,08pp</w:t>
            </w:r>
          </w:p>
        </w:tc>
      </w:tr>
    </w:tbl>
    <w:p>
      <w:pPr>
        <w:spacing w:after="120"/>
      </w:pPr>
      <w:r>
        <w:rPr>
          <w:rFonts w:ascii="Arial" w:cs="Arial" w:eastAsia="Arial" w:hAnsi="Arial"/>
          <w:sz w:val="22"/>
          <w:szCs w:val="22"/>
        </w:rPr>
        <w:t xml:space="preserve">Gross yield berkisar 3,0–3,6%, konsisten dengan kawasan prime di kota-kota besar Eropa. Tren yield yang stabil menunjukkan kenaikan sewa bergerak seiring harga beli, menjaga daya tarik investasi jangka panjang.</w:t>
      </w:r>
    </w:p>
    <w:p>
      <w:pPr>
        <w:pStyle w:val="Heading1"/>
        <w:spacing w:after="200" w:before="400"/>
      </w:pPr>
      <w:r>
        <w:rPr>
          <w:rFonts w:ascii="Arial" w:cs="Arial" w:eastAsia="Arial" w:hAnsi="Arial"/>
          <w:b/>
          <w:bCs/>
          <w:color w:val="1E3A5F"/>
          <w:sz w:val="32"/>
          <w:szCs w:val="32"/>
        </w:rPr>
        <w:t xml:space="preserve">6. Kesimpulan dan Rekomendasi</w:t>
      </w:r>
    </w:p>
    <w:p>
      <w:pPr>
        <w:spacing w:after="120"/>
      </w:pPr>
      <w:r>
        <w:rPr>
          <w:rFonts w:ascii="Arial" w:cs="Arial" w:eastAsia="Arial" w:hAnsi="Arial"/>
          <w:sz w:val="22"/>
          <w:szCs w:val="22"/>
        </w:rPr>
        <w:t xml:space="preserve">Pasar properti Bezirk Mitte, Berlin, menunjukkan fundamental yang sangat kuat sepanjang periode 2020–2026. Beberapa rekomendasi strategis:</w:t>
      </w:r>
    </w:p>
    <w:p>
      <w:pPr>
        <w:pStyle w:val="ListParagraph"/>
        <w:numPr>
          <w:ilvl w:val="0"/>
          <w:numId w:val="2"/>
        </w:numPr>
      </w:pPr>
      <w:r>
        <w:rPr>
          <w:rFonts w:ascii="Arial" w:cs="Arial" w:eastAsia="Arial" w:hAnsi="Arial"/>
          <w:b/>
          <w:bCs/>
          <w:sz w:val="22"/>
          <w:szCs w:val="22"/>
        </w:rPr>
        <w:t xml:space="preserve">Investor Buy-to-Let: </w:t>
      </w:r>
      <w:r>
        <w:rPr>
          <w:rFonts w:ascii="Arial" w:cs="Arial" w:eastAsia="Arial" w:hAnsi="Arial"/>
          <w:sz w:val="22"/>
          <w:szCs w:val="22"/>
        </w:rPr>
        <w:t xml:space="preserve">Kaltmiete yang terus naik dan gross yield stabil di 3,0–3,6% menjadikan Mitte pilihan defensif yang menarik. Risiko vacancy rendah mengingat permintaan sewa yang konsisten.</w:t>
      </w:r>
    </w:p>
    <w:p>
      <w:pPr>
        <w:pStyle w:val="ListParagraph"/>
        <w:numPr>
          <w:ilvl w:val="0"/>
          <w:numId w:val="2"/>
        </w:numPr>
      </w:pPr>
      <w:r>
        <w:rPr>
          <w:rFonts w:ascii="Arial" w:cs="Arial" w:eastAsia="Arial" w:hAnsi="Arial"/>
          <w:b/>
          <w:bCs/>
          <w:sz w:val="22"/>
          <w:szCs w:val="22"/>
        </w:rPr>
        <w:t xml:space="preserve">Investor Properti Baru: </w:t>
      </w:r>
      <w:r>
        <w:rPr>
          <w:rFonts w:ascii="Arial" w:cs="Arial" w:eastAsia="Arial" w:hAnsi="Arial"/>
          <w:sz w:val="22"/>
          <w:szCs w:val="22"/>
        </w:rPr>
        <w:t xml:space="preserve">Premium harga baru 20–25% di atas sekunder memberikan peluang bagi developer. Namun, biaya konstruksi yang tinggi memerlukan analisis kelayakan yang cermat.</w:t>
      </w:r>
    </w:p>
    <w:p>
      <w:pPr>
        <w:pStyle w:val="ListParagraph"/>
        <w:numPr>
          <w:ilvl w:val="0"/>
          <w:numId w:val="2"/>
        </w:numPr>
      </w:pPr>
      <w:r>
        <w:rPr>
          <w:rFonts w:ascii="Arial" w:cs="Arial" w:eastAsia="Arial" w:hAnsi="Arial"/>
          <w:b/>
          <w:bCs/>
          <w:sz w:val="22"/>
          <w:szCs w:val="22"/>
        </w:rPr>
        <w:t xml:space="preserve">Timing Pembelian: </w:t>
      </w:r>
      <w:r>
        <w:rPr>
          <w:rFonts w:ascii="Arial" w:cs="Arial" w:eastAsia="Arial" w:hAnsi="Arial"/>
          <w:sz w:val="22"/>
          <w:szCs w:val="22"/>
        </w:rPr>
        <w:t xml:space="preserve">Koreksi harga 2023–2024 telah berakhir. Data 2025 menunjukkan pemulihan kuat, sehingga window entry yang optimal mungkin sudah terlewati untuk pasar sekunder.</w:t>
      </w:r>
    </w:p>
    <w:p>
      <w:pPr>
        <w:pStyle w:val="ListParagraph"/>
        <w:numPr>
          <w:ilvl w:val="0"/>
          <w:numId w:val="2"/>
        </w:numPr>
      </w:pPr>
      <w:r>
        <w:rPr>
          <w:rFonts w:ascii="Arial" w:cs="Arial" w:eastAsia="Arial" w:hAnsi="Arial"/>
          <w:b/>
          <w:bCs/>
          <w:sz w:val="22"/>
          <w:szCs w:val="22"/>
        </w:rPr>
        <w:t xml:space="preserve">Tiergarten Premium: </w:t>
      </w:r>
      <w:r>
        <w:rPr>
          <w:rFonts w:ascii="Arial" w:cs="Arial" w:eastAsia="Arial" w:hAnsi="Arial"/>
          <w:sz w:val="22"/>
          <w:szCs w:val="22"/>
        </w:rPr>
        <w:t xml:space="preserve">Bagi investor dengan modal lebih besar, Tiergarten menawarkan premium lokasi yang dapat mendukung exit strategy dengan harga lebih tinggi.</w:t>
      </w:r>
    </w:p>
    <w:p>
      <w:pPr>
        <w:pBdr>
          <w:top w:val="single" w:color="1E3A5F" w:sz="6" w:space="1"/>
        </w:pBdr>
        <w:spacing w:before="400"/>
      </w:pPr>
      <w:r>
        <w:rPr>
          <w:rFonts w:ascii="Arial" w:cs="Arial" w:eastAsia="Arial" w:hAnsi="Arial"/>
          <w:i/>
          <w:iCs/>
          <w:color w:val="64748B"/>
          <w:sz w:val="18"/>
          <w:szCs w:val="18"/>
        </w:rPr>
        <w:t xml:space="preserve">Laporan ini dibuat berdasarkan data historis. Investasi properti mengandung risiko. Konsultasikan dengan agen properti dan penasihat keuangan sebelum mengambil keputusan investasi.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6" w:space="1"/>
      </w:pBdr>
      <w:spacing w:before="100"/>
      <w:jc w:val="center"/>
    </w:pPr>
    <w:r>
      <w:rPr>
        <w:rFonts w:ascii="Arial" w:cs="Arial" w:eastAsia="Arial" w:hAnsi="Arial"/>
        <w:color w:val="64748B"/>
        <w:sz w:val="18"/>
        <w:szCs w:val="18"/>
      </w:rPr>
      <w:t xml:space="preserve">Halaman </w:t>
    </w:r>
    <w:fldSimple w:instr="PAGE"/>
    <w:r>
      <w:rPr>
        <w:rFonts w:ascii="Arial" w:cs="Arial" w:eastAsia="Arial" w:hAnsi="Arial"/>
        <w:color w:val="64748B"/>
        <w:sz w:val="18"/>
        <w:szCs w:val="18"/>
      </w:rPr>
      <w:t xml:space="preserve">  |  Sumber: Berlin Real Estate Dataset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spacing w:after="200"/>
    </w:pPr>
    <w:r>
      <w:rPr>
        <w:rFonts w:ascii="Arial" w:cs="Arial" w:eastAsia="Arial" w:hAnsi="Arial"/>
        <w:b/>
        <w:bCs/>
        <w:color w:val="1E3A5F"/>
        <w:sz w:val="20"/>
        <w:szCs w:val="20"/>
      </w:rPr>
      <w:t xml:space="preserve">LAPORAN PASAR PROPERTI BERLIN</w:t>
    </w:r>
    <w:r>
      <w:rPr>
        <w:rFonts w:ascii="Arial" w:cs="Arial" w:eastAsia="Arial" w:hAnsi="Arial"/>
        <w:color w:val="64748B"/>
        <w:sz w:val="20"/>
        <w:szCs w:val="20"/>
      </w:rPr>
      <w:t xml:space="preserve">  |  Bezirk Mitte, 2020–2026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2026-06-17T12:55:50.219Z</dcterms:created>
  <dcterms:modified xsi:type="dcterms:W3CDTF">2026-06-17T12:55:50.220Z</dcterms:modified>
</cp:coreProperties>
</file>

<file path=docProps/custom.xml><?xml version="1.0" encoding="utf-8"?>
<Properties xmlns="http://schemas.openxmlformats.org/officeDocument/2006/custom-properties" xmlns:vt="http://schemas.openxmlformats.org/officeDocument/2006/docPropsVTypes"/>
</file>