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80"/>
        <w:jc w:val="center"/>
      </w:pPr>
      <w:r>
        <w:rPr>
          <w:rFonts w:ascii="Arial" w:cs="Arial" w:eastAsia="Arial" w:hAnsi="Arial"/>
          <w:b/>
          <w:bCs/>
          <w:color w:val="1E3A5F"/>
          <w:sz w:val="60"/>
          <w:szCs w:val="60"/>
        </w:rPr>
        <w:t xml:space="preserve">BERLIN REAL ESTATE</w:t>
      </w:r>
    </w:p>
    <w:p>
      <w:pPr>
        <w:spacing w:after="120"/>
        <w:jc w:val="center"/>
      </w:pPr>
      <w:r>
        <w:rPr>
          <w:rFonts w:ascii="Arial" w:cs="Arial" w:eastAsia="Arial" w:hAnsi="Arial"/>
          <w:b/>
          <w:bCs/>
          <w:color w:val="2E86AB"/>
          <w:sz w:val="52"/>
          <w:szCs w:val="52"/>
        </w:rPr>
        <w:t xml:space="preserve">MARKET REPORT</w:t>
      </w:r>
    </w:p>
    <w:p>
      <w:pPr>
        <w:pBdr>
          <w:bottom w:val="single" w:color="1E3A5F" w:sz="16" w:space="1"/>
        </w:pBdr>
        <w:spacing w:after="320"/>
        <w:jc w:val="center"/>
      </w:pPr>
    </w:p>
    <w:p>
      <w:pPr>
        <w:spacing w:after="80"/>
        <w:jc w:val="center"/>
      </w:pPr>
      <w:r>
        <w:rPr>
          <w:rFonts w:ascii="Arial" w:cs="Arial" w:eastAsia="Arial" w:hAnsi="Arial"/>
          <w:color w:val="64748B"/>
          <w:sz w:val="24"/>
          <w:szCs w:val="24"/>
        </w:rPr>
        <w:t xml:space="preserve">Bezirk Mitte  ·  Ortsteil Mitte (Ort) &amp; Tiergarten</w:t>
      </w:r>
    </w:p>
    <w:p>
      <w:pPr>
        <w:spacing w:after="600"/>
        <w:jc w:val="center"/>
      </w:pPr>
      <w:r>
        <w:rPr>
          <w:rFonts w:ascii="Arial" w:cs="Arial" w:eastAsia="Arial" w:hAnsi="Arial"/>
          <w:color w:val="64748B"/>
          <w:sz w:val="22"/>
          <w:szCs w:val="22"/>
        </w:rPr>
        <w:t xml:space="preserve">Analysis Period: January 2020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86AB" w:sz="1"/>
              <w:left w:val="single" w:color="2E86AB" w:sz="1"/>
              <w:bottom w:val="single" w:color="2E86AB" w:sz="1"/>
              <w:right w:val="single" w:color="2E86AB" w:sz="1"/>
            </w:tcBorders>
            <w:shd w:fill="1E3A5F" w:val="clear"/>
            <w:tcMar>
              <w:top w:type="dxa" w:w="180"/>
              <w:left w:type="dxa" w:w="120"/>
              <w:bottom w:type="dxa" w:w="180"/>
              <w:right w:type="dxa" w:w="120"/>
            </w:tcMar>
          </w:tcPr>
          <w:p>
            <w:pPr>
              <w:jc w:val="center"/>
            </w:pPr>
            <w:r>
              <w:rPr>
                <w:rFonts w:ascii="Arial" w:cs="Arial" w:eastAsia="Arial" w:hAnsi="Arial"/>
                <w:b/>
                <w:bCs/>
                <w:color w:val="F6D860"/>
                <w:sz w:val="32"/>
                <w:szCs w:val="32"/>
              </w:rPr>
              <w:t xml:space="preserve">€10,014/m²</w:t>
            </w:r>
          </w:p>
          <w:p>
            <w:pPr>
              <w:jc w:val="center"/>
            </w:pPr>
            <w:r>
              <w:rPr>
                <w:rFonts w:ascii="Arial" w:cs="Arial" w:eastAsia="Arial" w:hAnsi="Arial"/>
                <w:color w:val="A0BEDD"/>
                <w:sz w:val="16"/>
                <w:szCs w:val="16"/>
              </w:rPr>
              <w:t xml:space="preserve">All-time High
(Sep 2025)</w:t>
            </w:r>
          </w:p>
        </w:tc>
        <w:tc>
          <w:tcPr>
            <w:tcW w:type="dxa" w:w="2340"/>
            <w:tcBorders>
              <w:top w:val="single" w:color="2E86AB" w:sz="1"/>
              <w:left w:val="single" w:color="2E86AB" w:sz="1"/>
              <w:bottom w:val="single" w:color="2E86AB" w:sz="1"/>
              <w:right w:val="single" w:color="2E86AB" w:sz="1"/>
            </w:tcBorders>
            <w:shd w:fill="1E3A5F" w:val="clear"/>
            <w:tcMar>
              <w:top w:type="dxa" w:w="180"/>
              <w:left w:type="dxa" w:w="120"/>
              <w:bottom w:type="dxa" w:w="180"/>
              <w:right w:type="dxa" w:w="120"/>
            </w:tcMar>
          </w:tcPr>
          <w:p>
            <w:pPr>
              <w:jc w:val="center"/>
            </w:pPr>
            <w:r>
              <w:rPr>
                <w:rFonts w:ascii="Arial" w:cs="Arial" w:eastAsia="Arial" w:hAnsi="Arial"/>
                <w:b/>
                <w:bCs/>
                <w:color w:val="F6D860"/>
                <w:sz w:val="32"/>
                <w:szCs w:val="32"/>
              </w:rPr>
              <w:t xml:space="preserve">+24.9%</w:t>
            </w:r>
          </w:p>
          <w:p>
            <w:pPr>
              <w:jc w:val="center"/>
            </w:pPr>
            <w:r>
              <w:rPr>
                <w:rFonts w:ascii="Arial" w:cs="Arial" w:eastAsia="Arial" w:hAnsi="Arial"/>
                <w:color w:val="A0BEDD"/>
                <w:sz w:val="16"/>
                <w:szCs w:val="16"/>
              </w:rPr>
              <w:t xml:space="preserve">Secondary Price
Growth 2020→25</w:t>
            </w:r>
          </w:p>
        </w:tc>
        <w:tc>
          <w:tcPr>
            <w:tcW w:type="dxa" w:w="2340"/>
            <w:tcBorders>
              <w:top w:val="single" w:color="2E86AB" w:sz="1"/>
              <w:left w:val="single" w:color="2E86AB" w:sz="1"/>
              <w:bottom w:val="single" w:color="2E86AB" w:sz="1"/>
              <w:right w:val="single" w:color="2E86AB" w:sz="1"/>
            </w:tcBorders>
            <w:shd w:fill="1E3A5F" w:val="clear"/>
            <w:tcMar>
              <w:top w:type="dxa" w:w="180"/>
              <w:left w:type="dxa" w:w="120"/>
              <w:bottom w:type="dxa" w:w="180"/>
              <w:right w:type="dxa" w:w="120"/>
            </w:tcMar>
          </w:tcPr>
          <w:p>
            <w:pPr>
              <w:jc w:val="center"/>
            </w:pPr>
            <w:r>
              <w:rPr>
                <w:rFonts w:ascii="Arial" w:cs="Arial" w:eastAsia="Arial" w:hAnsi="Arial"/>
                <w:b/>
                <w:bCs/>
                <w:color w:val="F6D860"/>
                <w:sz w:val="32"/>
                <w:szCs w:val="32"/>
              </w:rPr>
              <w:t xml:space="preserve">+45.8%</w:t>
            </w:r>
          </w:p>
          <w:p>
            <w:pPr>
              <w:jc w:val="center"/>
            </w:pPr>
            <w:r>
              <w:rPr>
                <w:rFonts w:ascii="Arial" w:cs="Arial" w:eastAsia="Arial" w:hAnsi="Arial"/>
                <w:color w:val="A0BEDD"/>
                <w:sz w:val="16"/>
                <w:szCs w:val="16"/>
              </w:rPr>
              <w:t xml:space="preserve">Kaltmiete
Growth 2020→25</w:t>
            </w:r>
          </w:p>
        </w:tc>
        <w:tc>
          <w:tcPr>
            <w:tcW w:type="dxa" w:w="2340"/>
            <w:tcBorders>
              <w:top w:val="single" w:color="2E86AB" w:sz="1"/>
              <w:left w:val="single" w:color="2E86AB" w:sz="1"/>
              <w:bottom w:val="single" w:color="2E86AB" w:sz="1"/>
              <w:right w:val="single" w:color="2E86AB" w:sz="1"/>
            </w:tcBorders>
            <w:shd w:fill="1E3A5F" w:val="clear"/>
            <w:tcMar>
              <w:top w:type="dxa" w:w="180"/>
              <w:left w:type="dxa" w:w="120"/>
              <w:bottom w:type="dxa" w:w="180"/>
              <w:right w:type="dxa" w:w="120"/>
            </w:tcMar>
          </w:tcPr>
          <w:p>
            <w:pPr>
              <w:jc w:val="center"/>
            </w:pPr>
            <w:r>
              <w:rPr>
                <w:rFonts w:ascii="Arial" w:cs="Arial" w:eastAsia="Arial" w:hAnsi="Arial"/>
                <w:b/>
                <w:bCs/>
                <w:color w:val="F6D860"/>
                <w:sz w:val="32"/>
                <w:szCs w:val="32"/>
              </w:rPr>
              <w:t xml:space="preserve">25–28%</w:t>
            </w:r>
          </w:p>
          <w:p>
            <w:pPr>
              <w:jc w:val="center"/>
            </w:pPr>
            <w:r>
              <w:rPr>
                <w:rFonts w:ascii="Arial" w:cs="Arial" w:eastAsia="Arial" w:hAnsi="Arial"/>
                <w:color w:val="A0BEDD"/>
                <w:sz w:val="16"/>
                <w:szCs w:val="16"/>
              </w:rPr>
              <w:t xml:space="preserve">New vs Secondary
Price Gap (avg.)</w:t>
            </w:r>
          </w:p>
        </w:tc>
      </w:tr>
    </w:tbl>
    <w:p>
      <w:pPr>
        <w:spacing w:after="80" w:before="600"/>
        <w:jc w:val="center"/>
      </w:pPr>
      <w:r>
        <w:rPr>
          <w:rFonts w:ascii="Arial" w:cs="Arial" w:eastAsia="Arial" w:hAnsi="Arial"/>
          <w:i/>
          <w:iCs/>
          <w:color w:val="64748B"/>
          <w:sz w:val="18"/>
          <w:szCs w:val="18"/>
        </w:rPr>
        <w:t xml:space="preserve">Prepared June 2026</w:t>
      </w:r>
    </w:p>
    <w:p>
      <w:r>
        <w:br w:type="page"/>
      </w:r>
    </w:p>
    <w:p>
      <w:pPr>
        <w:pStyle w:val="Heading1"/>
        <w:spacing w:after="200" w:before="480"/>
      </w:pPr>
      <w:r>
        <w:rPr>
          <w:rFonts w:ascii="Arial" w:cs="Arial" w:eastAsia="Arial" w:hAnsi="Arial"/>
          <w:b/>
          <w:bCs/>
          <w:color w:val="1E3A5F"/>
          <w:sz w:val="34"/>
          <w:szCs w:val="34"/>
        </w:rPr>
        <w:t xml:space="preserve">1. Executive Summary</w:t>
      </w:r>
    </w:p>
    <w:p>
      <w:pPr>
        <w:spacing w:after="140"/>
      </w:pPr>
      <w:r>
        <w:rPr>
          <w:rFonts w:ascii="Arial" w:cs="Arial" w:eastAsia="Arial" w:hAnsi="Arial"/>
          <w:sz w:val="22"/>
          <w:szCs w:val="22"/>
        </w:rPr>
        <w:t xml:space="preserve">This report provides a comprehensive analysis of the Berlin residential property market in Bezirk Mitte, covering the period January 2020 through April 2026. The dataset spans two high-premium ortsteil — Mitte (Ort) and Tiergarten — and tracks secondary sale prices, new-construction prices, cold rent (Kaltmiete), and listing volumes on a monthly basis.</w:t>
      </w:r>
    </w:p>
    <w:p>
      <w:pPr>
        <w:spacing w:after="140"/>
      </w:pPr>
      <w:r>
        <w:rPr>
          <w:rFonts w:ascii="Arial" w:cs="Arial" w:eastAsia="Arial" w:hAnsi="Arial"/>
          <w:sz w:val="22"/>
          <w:szCs w:val="22"/>
        </w:rPr>
        <w:t xml:space="preserve">The overarching finding is one of structural supply-demand imbalance. Across all price metrics, the Mitte district has demonstrated exceptional resilience: it absorbed the global shock of COVID-19, navigated the European energy crisis and interest-rate cycle of 2022–2024, and emerged in 2025 at new all-time highs. Most notably, cold rent has grown nearly twice as fast as purchase prices — a signal of persistent rental housing scarcity that carries major implications for investors, policymakers, and residents.</w:t>
      </w:r>
    </w:p>
    <w:p>
      <w:pPr>
        <w:pStyle w:val="Heading2"/>
        <w:spacing w:after="120" w:before="300"/>
      </w:pPr>
      <w:r>
        <w:rPr>
          <w:rFonts w:ascii="Arial" w:cs="Arial" w:eastAsia="Arial" w:hAnsi="Arial"/>
          <w:b/>
          <w:bCs/>
          <w:color w:val="2E86AB"/>
          <w:sz w:val="26"/>
          <w:szCs w:val="26"/>
        </w:rPr>
        <w:t xml:space="preserve">1.1 Key Highlights</w:t>
      </w:r>
    </w:p>
    <w:p>
      <w:pPr>
        <w:pStyle w:val="ListParagraph"/>
        <w:numPr>
          <w:ilvl w:val="0"/>
          <w:numId w:val="2"/>
        </w:numPr>
        <w:spacing w:after="80"/>
      </w:pPr>
      <w:r>
        <w:rPr>
          <w:rFonts w:ascii="Arial" w:cs="Arial" w:eastAsia="Arial" w:hAnsi="Arial"/>
          <w:b/>
          <w:bCs/>
          <w:sz w:val="22"/>
          <w:szCs w:val="22"/>
        </w:rPr>
        <w:t xml:space="preserve">Secondary sale prices: </w:t>
      </w:r>
      <w:r>
        <w:rPr>
          <w:rFonts w:ascii="Arial" w:cs="Arial" w:eastAsia="Arial" w:hAnsi="Arial"/>
          <w:sz w:val="22"/>
          <w:szCs w:val="22"/>
        </w:rPr>
        <w:t xml:space="preserve">Grew +24.9% from €7,637/m² (2020) to €9,541/m² (2025); all-time high of €10,014/m² in September 2025.</w:t>
      </w:r>
    </w:p>
    <w:p>
      <w:pPr>
        <w:pStyle w:val="ListParagraph"/>
        <w:numPr>
          <w:ilvl w:val="0"/>
          <w:numId w:val="2"/>
        </w:numPr>
        <w:spacing w:after="80"/>
      </w:pPr>
      <w:r>
        <w:rPr>
          <w:rFonts w:ascii="Arial" w:cs="Arial" w:eastAsia="Arial" w:hAnsi="Arial"/>
          <w:b/>
          <w:bCs/>
          <w:sz w:val="22"/>
          <w:szCs w:val="22"/>
        </w:rPr>
        <w:t xml:space="preserve">New-construction prices: </w:t>
      </w:r>
      <w:r>
        <w:rPr>
          <w:rFonts w:ascii="Arial" w:cs="Arial" w:eastAsia="Arial" w:hAnsi="Arial"/>
          <w:sz w:val="22"/>
          <w:szCs w:val="22"/>
        </w:rPr>
        <w:t xml:space="preserve">Consistently 25–28% above secondary, averaging €11,982/m² in 2025. The gap reflects developer margin, modern specifications, and energy efficiency premiums.</w:t>
      </w:r>
    </w:p>
    <w:p>
      <w:pPr>
        <w:pStyle w:val="ListParagraph"/>
        <w:numPr>
          <w:ilvl w:val="0"/>
          <w:numId w:val="2"/>
        </w:numPr>
        <w:spacing w:after="80"/>
      </w:pPr>
      <w:r>
        <w:rPr>
          <w:rFonts w:ascii="Arial" w:cs="Arial" w:eastAsia="Arial" w:hAnsi="Arial"/>
          <w:b/>
          <w:bCs/>
          <w:sz w:val="22"/>
          <w:szCs w:val="22"/>
        </w:rPr>
        <w:t xml:space="preserve">Kaltmiete: </w:t>
      </w:r>
      <w:r>
        <w:rPr>
          <w:rFonts w:ascii="Arial" w:cs="Arial" w:eastAsia="Arial" w:hAnsi="Arial"/>
          <w:sz w:val="22"/>
          <w:szCs w:val="22"/>
        </w:rPr>
        <w:t xml:space="preserve">Surged +45.8% from €19.54/m²/month (2020) to €28.49/m²/month (2025) — the steepest growth metric in the dataset.</w:t>
      </w:r>
    </w:p>
    <w:p>
      <w:pPr>
        <w:pStyle w:val="ListParagraph"/>
        <w:numPr>
          <w:ilvl w:val="0"/>
          <w:numId w:val="2"/>
        </w:numPr>
        <w:spacing w:after="80"/>
      </w:pPr>
      <w:r>
        <w:rPr>
          <w:rFonts w:ascii="Arial" w:cs="Arial" w:eastAsia="Arial" w:hAnsi="Arial"/>
          <w:b/>
          <w:bCs/>
          <w:sz w:val="22"/>
          <w:szCs w:val="22"/>
        </w:rPr>
        <w:t xml:space="preserve">Gross rental yield: </w:t>
      </w:r>
      <w:r>
        <w:rPr>
          <w:rFonts w:ascii="Arial" w:cs="Arial" w:eastAsia="Arial" w:hAnsi="Arial"/>
          <w:sz w:val="22"/>
          <w:szCs w:val="22"/>
        </w:rPr>
        <w:t xml:space="preserve">Improving from 3.07% (2020) to 3.58% (2025), driven by rent growth outpacing price growth in recent years.</w:t>
      </w:r>
    </w:p>
    <w:p>
      <w:pPr>
        <w:pStyle w:val="ListParagraph"/>
        <w:numPr>
          <w:ilvl w:val="0"/>
          <w:numId w:val="2"/>
        </w:numPr>
        <w:spacing w:after="80"/>
      </w:pPr>
      <w:r>
        <w:rPr>
          <w:rFonts w:ascii="Arial" w:cs="Arial" w:eastAsia="Arial" w:hAnsi="Arial"/>
          <w:b/>
          <w:bCs/>
          <w:sz w:val="22"/>
          <w:szCs w:val="22"/>
        </w:rPr>
        <w:t xml:space="preserve">Price gap (new vs. secondary): </w:t>
      </w:r>
      <w:r>
        <w:rPr>
          <w:rFonts w:ascii="Arial" w:cs="Arial" w:eastAsia="Arial" w:hAnsi="Arial"/>
          <w:sz w:val="22"/>
          <w:szCs w:val="22"/>
        </w:rPr>
        <w:t xml:space="preserve">Persistently 24–28%; widened sharply to 27.9% in 2022 as construction costs spiked, then normalized to ~25% by 2025.</w:t>
      </w:r>
    </w:p>
    <w:p>
      <w:pPr>
        <w:pStyle w:val="ListParagraph"/>
        <w:numPr>
          <w:ilvl w:val="0"/>
          <w:numId w:val="2"/>
        </w:numPr>
        <w:spacing w:after="80"/>
      </w:pPr>
      <w:r>
        <w:rPr>
          <w:rFonts w:ascii="Arial" w:cs="Arial" w:eastAsia="Arial" w:hAnsi="Arial"/>
          <w:b/>
          <w:bCs/>
          <w:sz w:val="22"/>
          <w:szCs w:val="22"/>
        </w:rPr>
        <w:t xml:space="preserve">Market phases: </w:t>
      </w:r>
      <w:r>
        <w:rPr>
          <w:rFonts w:ascii="Arial" w:cs="Arial" w:eastAsia="Arial" w:hAnsi="Arial"/>
          <w:sz w:val="22"/>
          <w:szCs w:val="22"/>
        </w:rPr>
        <w:t xml:space="preserve">Four distinct cycles identified — Pandemic Stabilisation (2020–21), Inflation Spike (2022), ECB-Driven Correction (2023–24), and Recovery &amp; Expansion (2025–26).</w:t>
      </w:r>
    </w:p>
    <w:p>
      <w:r>
        <w:br w:type="page"/>
      </w:r>
    </w:p>
    <w:p>
      <w:pPr>
        <w:pStyle w:val="Heading1"/>
        <w:spacing w:after="200" w:before="480"/>
      </w:pPr>
      <w:r>
        <w:rPr>
          <w:rFonts w:ascii="Arial" w:cs="Arial" w:eastAsia="Arial" w:hAnsi="Arial"/>
          <w:b/>
          <w:bCs/>
          <w:color w:val="1E3A5F"/>
          <w:sz w:val="34"/>
          <w:szCs w:val="34"/>
        </w:rPr>
        <w:t xml:space="preserve">2. Market Overview: Bezirk Mitte</w:t>
      </w:r>
    </w:p>
    <w:p>
      <w:pPr>
        <w:spacing w:after="140"/>
      </w:pPr>
      <w:r>
        <w:rPr>
          <w:rFonts w:ascii="Arial" w:cs="Arial" w:eastAsia="Arial" w:hAnsi="Arial"/>
          <w:sz w:val="22"/>
          <w:szCs w:val="22"/>
        </w:rPr>
        <w:t xml:space="preserve">Bezirk Mitte is Berlin's central district, encompassing the political, cultural, and commercial heart of the city. Both ortsteil covered in this dataset — Mitte (Ort) and Tiergarten — are classified as kiez_premium: high, placing them among the most sought-after addresses in Germany. Proximity to the Bundestag, diplomatic quarter, Museum Island, and Tiergarten Park underpins consistently elevated demand from domestic buyers, expatriate professionals, and international investors.</w:t>
      </w:r>
    </w:p>
    <w:p>
      <w:pPr>
        <w:pStyle w:val="Heading2"/>
        <w:spacing w:after="120" w:before="300"/>
      </w:pPr>
      <w:r>
        <w:rPr>
          <w:rFonts w:ascii="Arial" w:cs="Arial" w:eastAsia="Arial" w:hAnsi="Arial"/>
          <w:b/>
          <w:bCs/>
          <w:color w:val="2E86AB"/>
          <w:sz w:val="26"/>
          <w:szCs w:val="26"/>
        </w:rPr>
        <w:t xml:space="preserve">2.1 Annual Performance — Mitte (Ort)</w:t>
      </w:r>
    </w:p>
    <w:p>
      <w:pPr>
        <w:spacing w:after="140"/>
      </w:pPr>
      <w:r>
        <w:rPr>
          <w:rFonts w:ascii="Arial" w:cs="Arial" w:eastAsia="Arial" w:hAnsi="Arial"/>
          <w:sz w:val="22"/>
          <w:szCs w:val="22"/>
        </w:rPr>
        <w:t xml:space="preserve">The table below summarises annualised averages across all key indicators for Mitte (Ort), the primary ortsteil in this dataset with 76 months of complete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1440"/>
        <w:gridCol w:w="1440"/>
        <w:gridCol w:w="1280"/>
        <w:gridCol w:w="1280"/>
        <w:gridCol w:w="1280"/>
        <w:gridCol w:w="1400"/>
      </w:tblGrid>
      <w:tr>
        <w:trPr>
          <w:tblHeader/>
        </w:trPr>
        <w:tc>
          <w:tcPr>
            <w:tcW w:type="dxa" w:w="124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w:t>
            </w:r>
          </w:p>
        </w:tc>
        <w:tc>
          <w:tcPr>
            <w:tcW w:type="dxa" w:w="144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 Price
(€/m²)</w:t>
            </w:r>
          </w:p>
        </w:tc>
        <w:tc>
          <w:tcPr>
            <w:tcW w:type="dxa" w:w="144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New Const.
(€/m²)</w:t>
            </w:r>
          </w:p>
        </w:tc>
        <w:tc>
          <w:tcPr>
            <w:tcW w:type="dxa" w:w="128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Kaltmiete
(€/m²/mo)</w:t>
            </w:r>
          </w:p>
        </w:tc>
        <w:tc>
          <w:tcPr>
            <w:tcW w:type="dxa" w:w="128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Gross
Yield</w:t>
            </w:r>
          </w:p>
        </w:tc>
        <w:tc>
          <w:tcPr>
            <w:tcW w:type="dxa" w:w="128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New–Sec
Gap</w:t>
            </w:r>
          </w:p>
        </w:tc>
        <w:tc>
          <w:tcPr>
            <w:tcW w:type="dxa" w:w="14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Avg. Sec
Listings/mo</w:t>
            </w:r>
          </w:p>
        </w:tc>
      </w:tr>
      <w:tr>
        <w:tc>
          <w:tcPr>
            <w:tcW w:type="dxa" w:w="12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2020</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€7,637</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€9,677</w:t>
            </w:r>
          </w:p>
        </w:tc>
        <w:tc>
          <w:tcPr>
            <w:tcW w:type="dxa" w:w="1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€19.54</w:t>
            </w:r>
          </w:p>
        </w:tc>
        <w:tc>
          <w:tcPr>
            <w:tcW w:type="dxa" w:w="1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3.07%</w:t>
            </w:r>
          </w:p>
        </w:tc>
        <w:tc>
          <w:tcPr>
            <w:tcW w:type="dxa" w:w="1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26.7%</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101</w:t>
            </w:r>
          </w:p>
        </w:tc>
      </w:tr>
      <w:tr>
        <w:tc>
          <w:tcPr>
            <w:tcW w:type="dxa" w:w="12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2021</w:t>
            </w:r>
          </w:p>
        </w:tc>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€8,253</w:t>
            </w:r>
          </w:p>
        </w:tc>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€10,308</w:t>
            </w:r>
          </w:p>
        </w:tc>
        <w:tc>
          <w:tcPr>
            <w:tcW w:type="dxa" w:w="12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€20.92</w:t>
            </w:r>
          </w:p>
        </w:tc>
        <w:tc>
          <w:tcPr>
            <w:tcW w:type="dxa" w:w="12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3.04%</w:t>
            </w:r>
          </w:p>
        </w:tc>
        <w:tc>
          <w:tcPr>
            <w:tcW w:type="dxa" w:w="12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24.9%</w:t>
            </w:r>
          </w:p>
        </w:tc>
        <w:tc>
          <w:tcPr>
            <w:tcW w:type="dxa" w:w="14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107</w:t>
            </w:r>
          </w:p>
        </w:tc>
      </w:tr>
      <w:tr>
        <w:tc>
          <w:tcPr>
            <w:tcW w:type="dxa" w:w="12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2022</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€9,473</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€12,115</w:t>
            </w:r>
          </w:p>
        </w:tc>
        <w:tc>
          <w:tcPr>
            <w:tcW w:type="dxa" w:w="1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€23.88</w:t>
            </w:r>
          </w:p>
        </w:tc>
        <w:tc>
          <w:tcPr>
            <w:tcW w:type="dxa" w:w="1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3.03%</w:t>
            </w:r>
          </w:p>
        </w:tc>
        <w:tc>
          <w:tcPr>
            <w:tcW w:type="dxa" w:w="1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27.9%</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101</w:t>
            </w:r>
          </w:p>
        </w:tc>
      </w:tr>
      <w:tr>
        <w:tc>
          <w:tcPr>
            <w:tcW w:type="dxa" w:w="12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2023</w:t>
            </w:r>
          </w:p>
        </w:tc>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€9,182</w:t>
            </w:r>
          </w:p>
        </w:tc>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€11,457</w:t>
            </w:r>
          </w:p>
        </w:tc>
        <w:tc>
          <w:tcPr>
            <w:tcW w:type="dxa" w:w="12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€25.72</w:t>
            </w:r>
          </w:p>
        </w:tc>
        <w:tc>
          <w:tcPr>
            <w:tcW w:type="dxa" w:w="12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3.36%</w:t>
            </w:r>
          </w:p>
        </w:tc>
        <w:tc>
          <w:tcPr>
            <w:tcW w:type="dxa" w:w="12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24.8%</w:t>
            </w:r>
          </w:p>
        </w:tc>
        <w:tc>
          <w:tcPr>
            <w:tcW w:type="dxa" w:w="14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90</w:t>
            </w:r>
          </w:p>
        </w:tc>
      </w:tr>
      <w:tr>
        <w:tc>
          <w:tcPr>
            <w:tcW w:type="dxa" w:w="12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2024</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€9,058</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€11,486</w:t>
            </w:r>
          </w:p>
        </w:tc>
        <w:tc>
          <w:tcPr>
            <w:tcW w:type="dxa" w:w="1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€26.55</w:t>
            </w:r>
          </w:p>
        </w:tc>
        <w:tc>
          <w:tcPr>
            <w:tcW w:type="dxa" w:w="1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3.52%</w:t>
            </w:r>
          </w:p>
        </w:tc>
        <w:tc>
          <w:tcPr>
            <w:tcW w:type="dxa" w:w="1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26.8%</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91</w:t>
            </w:r>
          </w:p>
        </w:tc>
      </w:tr>
      <w:tr>
        <w:tc>
          <w:tcPr>
            <w:tcW w:type="dxa" w:w="12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2025</w:t>
            </w:r>
          </w:p>
        </w:tc>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€9,541</w:t>
            </w:r>
          </w:p>
        </w:tc>
        <w:tc>
          <w:tcPr>
            <w:tcW w:type="dxa" w:w="14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€11,982</w:t>
            </w:r>
          </w:p>
        </w:tc>
        <w:tc>
          <w:tcPr>
            <w:tcW w:type="dxa" w:w="12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€28.49</w:t>
            </w:r>
          </w:p>
        </w:tc>
        <w:tc>
          <w:tcPr>
            <w:tcW w:type="dxa" w:w="12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3.58%</w:t>
            </w:r>
          </w:p>
        </w:tc>
        <w:tc>
          <w:tcPr>
            <w:tcW w:type="dxa" w:w="12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25.6%</w:t>
            </w:r>
          </w:p>
        </w:tc>
        <w:tc>
          <w:tcPr>
            <w:tcW w:type="dxa" w:w="14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98</w:t>
            </w:r>
          </w:p>
        </w:tc>
      </w:tr>
      <w:tr>
        <w:tc>
          <w:tcPr>
            <w:tcW w:type="dxa" w:w="12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2026*</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€9,643</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€12,086</w:t>
            </w:r>
          </w:p>
        </w:tc>
        <w:tc>
          <w:tcPr>
            <w:tcW w:type="dxa" w:w="1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€28.92</w:t>
            </w:r>
          </w:p>
        </w:tc>
        <w:tc>
          <w:tcPr>
            <w:tcW w:type="dxa" w:w="1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3.60%</w:t>
            </w:r>
          </w:p>
        </w:tc>
        <w:tc>
          <w:tcPr>
            <w:tcW w:type="dxa" w:w="12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25.3%</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46</w:t>
            </w:r>
          </w:p>
        </w:tc>
      </w:tr>
    </w:tbl>
    <w:p>
      <w:pPr>
        <w:spacing w:after="80" w:before="80"/>
      </w:pPr>
      <w:r>
        <w:rPr>
          <w:rFonts w:ascii="Arial" w:cs="Arial" w:eastAsia="Arial" w:hAnsi="Arial"/>
          <w:i/>
          <w:iCs/>
          <w:color w:val="64748B"/>
          <w:sz w:val="18"/>
          <w:szCs w:val="18"/>
        </w:rPr>
        <w:t xml:space="preserve">* 2026 = January–April only. Gross yield = (Kaltmiete × 12) ÷ Secondary Price.</w:t>
      </w:r>
    </w:p>
    <w:p>
      <w:pPr>
        <w:pStyle w:val="Heading2"/>
        <w:spacing w:after="120" w:before="300"/>
      </w:pPr>
      <w:r>
        <w:rPr>
          <w:rFonts w:ascii="Arial" w:cs="Arial" w:eastAsia="Arial" w:hAnsi="Arial"/>
          <w:b/>
          <w:bCs/>
          <w:color w:val="2E86AB"/>
          <w:sz w:val="26"/>
          <w:szCs w:val="26"/>
        </w:rPr>
        <w:t xml:space="preserve">2.2 Tiergarten vs. Mitte (Ort) — Premium Analysis</w:t>
      </w:r>
    </w:p>
    <w:p>
      <w:pPr>
        <w:spacing w:after="140"/>
      </w:pPr>
      <w:r>
        <w:rPr>
          <w:rFonts w:ascii="Arial" w:cs="Arial" w:eastAsia="Arial" w:hAnsi="Arial"/>
          <w:sz w:val="22"/>
          <w:szCs w:val="22"/>
        </w:rPr>
        <w:t xml:space="preserve">The dataset contains Tiergarten data for January–May 2020 only, enabling a cross-sectional benchmark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Indicator</w:t>
            </w:r>
          </w:p>
        </w:tc>
        <w:tc>
          <w:tcPr>
            <w:tcW w:type="dxa" w:w="234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Mitte (Ort) Jan–May 2020</w:t>
            </w:r>
          </w:p>
        </w:tc>
        <w:tc>
          <w:tcPr>
            <w:tcW w:type="dxa" w:w="234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Tiergarten Jan–May 2020</w:t>
            </w:r>
          </w:p>
        </w:tc>
        <w:tc>
          <w:tcPr>
            <w:tcW w:type="dxa" w:w="234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Tiergarten Premium</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Secondary Price</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€7,450/m²</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€7,904/m²</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+€454 (+6.1%)</w:t>
            </w:r>
          </w:p>
        </w:tc>
      </w:tr>
      <w:tr>
        <w:tc>
          <w:tcPr>
            <w:tcW w:type="dxa" w:w="23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New Construction</w:t>
            </w:r>
          </w:p>
        </w:tc>
        <w:tc>
          <w:tcPr>
            <w:tcW w:type="dxa" w:w="23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€9,623/m²</w:t>
            </w:r>
          </w:p>
        </w:tc>
        <w:tc>
          <w:tcPr>
            <w:tcW w:type="dxa" w:w="23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€9,931/m²</w:t>
            </w:r>
          </w:p>
        </w:tc>
        <w:tc>
          <w:tcPr>
            <w:tcW w:type="dxa" w:w="23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+€308 (+3.2%)</w:t>
            </w:r>
          </w:p>
        </w:tc>
      </w:tr>
      <w:tr>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Kaltmiete</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€19.85/m²/mo</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€21.07/m²/mo</w:t>
            </w:r>
          </w:p>
        </w:tc>
        <w:tc>
          <w:tcPr>
            <w:tcW w:type="dxa" w:w="23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+€1.22 (+6.1%)</w:t>
            </w:r>
          </w:p>
        </w:tc>
      </w:tr>
      <w:tr>
        <w:tc>
          <w:tcPr>
            <w:tcW w:type="dxa" w:w="23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New–Sec Gap</w:t>
            </w:r>
          </w:p>
        </w:tc>
        <w:tc>
          <w:tcPr>
            <w:tcW w:type="dxa" w:w="23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29.2%</w:t>
            </w:r>
          </w:p>
        </w:tc>
        <w:tc>
          <w:tcPr>
            <w:tcW w:type="dxa" w:w="23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25.7%</w:t>
            </w:r>
          </w:p>
        </w:tc>
        <w:tc>
          <w:tcPr>
            <w:tcW w:type="dxa" w:w="23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−3.5pp</w:t>
            </w:r>
          </w:p>
        </w:tc>
      </w:tr>
    </w:tbl>
    <w:p>
      <w:pPr>
        <w:spacing w:after="140"/>
      </w:pPr>
      <w:r>
        <w:rPr>
          <w:rFonts w:ascii="Arial" w:cs="Arial" w:eastAsia="Arial" w:hAnsi="Arial"/>
          <w:sz w:val="22"/>
          <w:szCs w:val="22"/>
        </w:rPr>
        <w:t xml:space="preserve">Tiergarten commands a consistent 6% premium across both purchase prices and rents, reflecting its unique combination of green space, proximity to government institutions, and high-end residential stock. This premium is expected to be sticky — i.e., resistant to market corrections — due to the irreplaceable nature of the location.</w:t>
      </w:r>
    </w:p>
    <w:p>
      <w:r>
        <w:br w:type="page"/>
      </w:r>
    </w:p>
    <w:p>
      <w:pPr>
        <w:pStyle w:val="Heading1"/>
        <w:spacing w:after="200" w:before="480"/>
      </w:pPr>
      <w:r>
        <w:rPr>
          <w:rFonts w:ascii="Arial" w:cs="Arial" w:eastAsia="Arial" w:hAnsi="Arial"/>
          <w:b/>
          <w:bCs/>
          <w:color w:val="1E3A5F"/>
          <w:sz w:val="34"/>
          <w:szCs w:val="34"/>
        </w:rPr>
        <w:t xml:space="preserve">3. Gap Analysis: New Construction vs. Secondary Market</w:t>
      </w:r>
    </w:p>
    <w:p>
      <w:pPr>
        <w:spacing w:after="140"/>
      </w:pPr>
      <w:r>
        <w:rPr>
          <w:rFonts w:ascii="Arial" w:cs="Arial" w:eastAsia="Arial" w:hAnsi="Arial"/>
          <w:sz w:val="22"/>
          <w:szCs w:val="22"/>
        </w:rPr>
        <w:t xml:space="preserve">One of the most analytically significant dimensions of this dataset is the persistent, wide spread between new-construction and secondary-market prices. Understanding this gap — its magnitude, drivers, and implications — is essential for any investment or policy decision in this market.</w:t>
      </w:r>
    </w:p>
    <w:p>
      <w:pPr>
        <w:pStyle w:val="Heading2"/>
        <w:spacing w:after="120" w:before="300"/>
      </w:pPr>
      <w:r>
        <w:rPr>
          <w:rFonts w:ascii="Arial" w:cs="Arial" w:eastAsia="Arial" w:hAnsi="Arial"/>
          <w:b/>
          <w:bCs/>
          <w:color w:val="2E86AB"/>
          <w:sz w:val="26"/>
          <w:szCs w:val="26"/>
        </w:rPr>
        <w:t xml:space="preserve">3.1 Gap Magnitude and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600"/>
        <w:gridCol w:w="1600"/>
        <w:gridCol w:w="1600"/>
        <w:gridCol w:w="1400"/>
        <w:gridCol w:w="1600"/>
      </w:tblGrid>
      <w:tr>
        <w:trPr>
          <w:tblHeader/>
        </w:trPr>
        <w:tc>
          <w:tcPr>
            <w:tcW w:type="dxa" w:w="156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w:t>
            </w:r>
          </w:p>
        </w:tc>
        <w:tc>
          <w:tcPr>
            <w:tcW w:type="dxa" w:w="16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 Price</w:t>
            </w:r>
          </w:p>
        </w:tc>
        <w:tc>
          <w:tcPr>
            <w:tcW w:type="dxa" w:w="16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New Const.</w:t>
            </w:r>
          </w:p>
        </w:tc>
        <w:tc>
          <w:tcPr>
            <w:tcW w:type="dxa" w:w="16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Abs. Gap (€)</w:t>
            </w:r>
          </w:p>
        </w:tc>
        <w:tc>
          <w:tcPr>
            <w:tcW w:type="dxa" w:w="14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 (%)</w:t>
            </w:r>
          </w:p>
        </w:tc>
        <w:tc>
          <w:tcPr>
            <w:tcW w:type="dxa" w:w="16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Interpretation</w:t>
            </w:r>
          </w:p>
        </w:tc>
      </w:tr>
      <w:tr>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€7,637</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€9,677</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€2,040</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26.7%</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Baseline</w:t>
            </w:r>
          </w:p>
        </w:tc>
      </w:tr>
      <w:tr>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2021</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€8,253</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€10,308</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€2,055</w:t>
            </w:r>
          </w:p>
        </w:tc>
        <w:tc>
          <w:tcPr>
            <w:tcW w:type="dxa" w:w="14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24.9%</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Stable</w:t>
            </w:r>
          </w:p>
        </w:tc>
      </w:tr>
      <w:tr>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2022</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€9,473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€12,115</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€2,642</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27.9%</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Gap Widens</w:t>
            </w:r>
          </w:p>
        </w:tc>
      </w:tr>
      <w:tr>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2023</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€9,182</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€11,457</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€2,275</w:t>
            </w:r>
          </w:p>
        </w:tc>
        <w:tc>
          <w:tcPr>
            <w:tcW w:type="dxa" w:w="14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24.8%</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Gap Narrows</w:t>
            </w:r>
          </w:p>
        </w:tc>
      </w:tr>
      <w:tr>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2024</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€9,058</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€11,486</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€2,428</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26.8%</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Stabilising</w:t>
            </w:r>
          </w:p>
        </w:tc>
      </w:tr>
      <w:tr>
        <w:tc>
          <w:tcPr>
            <w:tcW w:type="dxa" w:w="156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2025</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€9,541</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€11,982</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€2,441</w:t>
            </w:r>
          </w:p>
        </w:tc>
        <w:tc>
          <w:tcPr>
            <w:tcW w:type="dxa" w:w="14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25.6%</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Moderate gap</w:t>
            </w:r>
          </w:p>
        </w:tc>
      </w:tr>
      <w:tr>
        <w:tc>
          <w:tcPr>
            <w:tcW w:type="dxa" w:w="1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2026*</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€9,643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€12,086</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€2,443</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25.3%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Trend continues</w:t>
            </w:r>
          </w:p>
        </w:tc>
      </w:tr>
    </w:tbl>
    <w:p>
      <w:pPr>
        <w:pStyle w:val="Heading2"/>
        <w:spacing w:after="120" w:before="300"/>
      </w:pPr>
      <w:r>
        <w:rPr>
          <w:rFonts w:ascii="Arial" w:cs="Arial" w:eastAsia="Arial" w:hAnsi="Arial"/>
          <w:b/>
          <w:bCs/>
          <w:color w:val="2E86AB"/>
          <w:sz w:val="26"/>
          <w:szCs w:val="26"/>
        </w:rPr>
        <w:t xml:space="preserve">3.2 Monthly Gap Volatility — 2025</w:t>
      </w:r>
    </w:p>
    <w:p>
      <w:pPr>
        <w:spacing w:after="140"/>
      </w:pPr>
      <w:r>
        <w:rPr>
          <w:rFonts w:ascii="Arial" w:cs="Arial" w:eastAsia="Arial" w:hAnsi="Arial"/>
          <w:sz w:val="22"/>
          <w:szCs w:val="22"/>
        </w:rPr>
        <w:t xml:space="preserve">Monthly data reveals that the gap is not static — it fluctuates significantly within each year, driven by listing mix, project completions, and seasonal demand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80"/>
        <w:gridCol w:w="1480"/>
      </w:tblGrid>
      <w:tr>
        <w:trPr>
          <w:tblHeader/>
        </w:trPr>
        <w:tc>
          <w:tcPr>
            <w:tcW w:type="dxa" w:w="14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Month</w:t>
            </w:r>
          </w:p>
        </w:tc>
        <w:tc>
          <w:tcPr>
            <w:tcW w:type="dxa" w:w="16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 Price
(€/m²)</w:t>
            </w:r>
          </w:p>
        </w:tc>
        <w:tc>
          <w:tcPr>
            <w:tcW w:type="dxa" w:w="16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New Const.
(€/m²)</w:t>
            </w:r>
          </w:p>
        </w:tc>
        <w:tc>
          <w:tcPr>
            <w:tcW w:type="dxa" w:w="16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Kaltmiete
(€/m²/mo)</w:t>
            </w:r>
          </w:p>
        </w:tc>
        <w:tc>
          <w:tcPr>
            <w:tcW w:type="dxa" w:w="168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New–Sec Gap
(€/%)</w:t>
            </w:r>
          </w:p>
        </w:tc>
        <w:tc>
          <w:tcPr>
            <w:tcW w:type="dxa" w:w="148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Yield
(Indicative)</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2025-01</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€9,116</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€11,275</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€27.10</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€2,159 / 23.7%</w:t>
            </w:r>
          </w:p>
        </w:tc>
        <w:tc>
          <w:tcPr>
            <w:tcW w:type="dxa" w:w="1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3.57%</w:t>
            </w:r>
          </w:p>
        </w:tc>
      </w:tr>
      <w:tr>
        <w:tc>
          <w:tcPr>
            <w:tcW w:type="dxa" w:w="14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2025-02</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€9,598</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€12,530</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€28.53</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€2,932 / 30.5%</w:t>
            </w:r>
          </w:p>
        </w:tc>
        <w:tc>
          <w:tcPr>
            <w:tcW w:type="dxa" w:w="14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3.57%</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2025-03</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€9,307</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€11,304</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€27.67</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€1,997 / 21.5%</w:t>
            </w:r>
          </w:p>
        </w:tc>
        <w:tc>
          <w:tcPr>
            <w:tcW w:type="dxa" w:w="1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3.57%</w:t>
            </w:r>
          </w:p>
        </w:tc>
      </w:tr>
      <w:tr>
        <w:tc>
          <w:tcPr>
            <w:tcW w:type="dxa" w:w="14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2025-04</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€9,252</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€11,760</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€27.50</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€2,508 / 27.1%</w:t>
            </w:r>
          </w:p>
        </w:tc>
        <w:tc>
          <w:tcPr>
            <w:tcW w:type="dxa" w:w="14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3.57%</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2025-05</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€9,430</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€11,711</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€28.03</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€2,281 / 24.2%</w:t>
            </w:r>
          </w:p>
        </w:tc>
        <w:tc>
          <w:tcPr>
            <w:tcW w:type="dxa" w:w="1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3.57%</w:t>
            </w:r>
          </w:p>
        </w:tc>
      </w:tr>
      <w:tr>
        <w:tc>
          <w:tcPr>
            <w:tcW w:type="dxa" w:w="14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2025-06</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€9,829</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€12,264</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€29.22</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€2,435 / 24.8%</w:t>
            </w:r>
          </w:p>
        </w:tc>
        <w:tc>
          <w:tcPr>
            <w:tcW w:type="dxa" w:w="14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3.57%</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2025-07</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€9,559</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€11,736</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€28.67</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€2,177 / 22.8%</w:t>
            </w:r>
          </w:p>
        </w:tc>
        <w:tc>
          <w:tcPr>
            <w:tcW w:type="dxa" w:w="1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3.60%</w:t>
            </w:r>
          </w:p>
        </w:tc>
      </w:tr>
      <w:tr>
        <w:tc>
          <w:tcPr>
            <w:tcW w:type="dxa" w:w="14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2025-08</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€9,873</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€12,744</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€29.61</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€2,871 / 29.1%</w:t>
            </w:r>
          </w:p>
        </w:tc>
        <w:tc>
          <w:tcPr>
            <w:tcW w:type="dxa" w:w="14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3.60%</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2025-09</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€10,014</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€12,696</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€30.03</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€2,682 / 26.8%</w:t>
            </w:r>
          </w:p>
        </w:tc>
        <w:tc>
          <w:tcPr>
            <w:tcW w:type="dxa" w:w="1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3.60%</w:t>
            </w:r>
          </w:p>
        </w:tc>
      </w:tr>
      <w:tr>
        <w:tc>
          <w:tcPr>
            <w:tcW w:type="dxa" w:w="14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2025-10</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€9,559</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€11,955</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€28.67</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€2,396 / 25.1%</w:t>
            </w:r>
          </w:p>
        </w:tc>
        <w:tc>
          <w:tcPr>
            <w:tcW w:type="dxa" w:w="14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3.60%</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2025-11</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€9,421</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€11,526</w:t>
            </w:r>
          </w:p>
        </w:tc>
        <w:tc>
          <w:tcPr>
            <w:tcW w:type="dxa" w:w="1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€28.26</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€2,105 / 22.3%</w:t>
            </w:r>
          </w:p>
        </w:tc>
        <w:tc>
          <w:tcPr>
            <w:tcW w:type="dxa" w:w="14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3.60%</w:t>
            </w:r>
          </w:p>
        </w:tc>
      </w:tr>
      <w:tr>
        <w:tc>
          <w:tcPr>
            <w:tcW w:type="dxa" w:w="14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2025-12</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€9,529</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€12,281</w:t>
            </w:r>
          </w:p>
        </w:tc>
        <w:tc>
          <w:tcPr>
            <w:tcW w:type="dxa" w:w="16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€28.58</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€2,752 / 28.9%</w:t>
            </w:r>
          </w:p>
        </w:tc>
        <w:tc>
          <w:tcPr>
            <w:tcW w:type="dxa" w:w="14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3.60%</w:t>
            </w:r>
          </w:p>
        </w:tc>
      </w:tr>
    </w:tbl>
    <w:p>
      <w:pPr>
        <w:spacing w:after="140"/>
      </w:pPr>
      <w:r>
        <w:rPr>
          <w:rFonts w:ascii="Arial" w:cs="Arial" w:eastAsia="Arial" w:hAnsi="Arial"/>
          <w:sz w:val="22"/>
          <w:szCs w:val="22"/>
        </w:rPr>
        <w:t xml:space="preserve">The gap ranged from 21.5% (March 2025) to 30.5% (February 2025) within a single year — a 9pp swing. This volatility primarily reflects the sporadic nature of new-construction completions entering the listing pool, rather than fundamental shifts in value.</w:t>
      </w:r>
    </w:p>
    <w:p>
      <w:pPr>
        <w:pStyle w:val="Heading2"/>
        <w:spacing w:after="120" w:before="300"/>
      </w:pPr>
      <w:r>
        <w:rPr>
          <w:rFonts w:ascii="Arial" w:cs="Arial" w:eastAsia="Arial" w:hAnsi="Arial"/>
          <w:b/>
          <w:bCs/>
          <w:color w:val="2E86AB"/>
          <w:sz w:val="26"/>
          <w:szCs w:val="26"/>
        </w:rPr>
        <w:t xml:space="preserve">3.3 Root Cause Analysis of the Price Gap</w:t>
      </w:r>
    </w:p>
    <w:p>
      <w:pPr>
        <w:spacing w:after="80" w:before="200"/>
      </w:pPr>
      <w:r>
        <w:rPr>
          <w:rFonts w:ascii="Arial" w:cs="Arial" w:eastAsia="Arial" w:hAnsi="Arial"/>
          <w:b/>
          <w:bCs/>
          <w:color w:val="1E3A5F"/>
          <w:sz w:val="22"/>
          <w:szCs w:val="22"/>
        </w:rPr>
        <w:t xml:space="preserve">A. Construction Cost Inflation</w:t>
      </w:r>
    </w:p>
    <w:p>
      <w:pPr>
        <w:spacing w:after="140"/>
      </w:pPr>
      <w:r>
        <w:rPr>
          <w:rFonts w:ascii="Arial" w:cs="Arial" w:eastAsia="Arial" w:hAnsi="Arial"/>
          <w:sz w:val="22"/>
          <w:szCs w:val="22"/>
        </w:rPr>
        <w:t xml:space="preserve">German construction costs rose sharply in 2021–2022 due to supply-chain disruptions, energy cost spikes, and labour shortages. New projects begun during this period carried elevated build costs that are now reflected in asking prices, irrespective of secondary market corrections.</w:t>
      </w:r>
    </w:p>
    <w:p>
      <w:pPr>
        <w:spacing w:after="80" w:before="200"/>
      </w:pPr>
      <w:r>
        <w:rPr>
          <w:rFonts w:ascii="Arial" w:cs="Arial" w:eastAsia="Arial" w:hAnsi="Arial"/>
          <w:b/>
          <w:bCs/>
          <w:color w:val="1E3A5F"/>
          <w:sz w:val="22"/>
          <w:szCs w:val="22"/>
        </w:rPr>
        <w:t xml:space="preserve">B. Energy Efficiency Premiums</w:t>
      </w:r>
    </w:p>
    <w:p>
      <w:pPr>
        <w:spacing w:after="140"/>
      </w:pPr>
      <w:r>
        <w:rPr>
          <w:rFonts w:ascii="Arial" w:cs="Arial" w:eastAsia="Arial" w:hAnsi="Arial"/>
          <w:sz w:val="22"/>
          <w:szCs w:val="22"/>
        </w:rPr>
        <w:t xml:space="preserve">Germany's GEG (Gebäudeenergiegesetz) regulations require new residential buildings to meet KfW 40 or better energy standards. Compliance adds an estimated €300–800/m² to build cost, a premium buyers must pay for lower running costs and regulatory compliance.</w:t>
      </w:r>
    </w:p>
    <w:p>
      <w:pPr>
        <w:spacing w:after="80" w:before="200"/>
      </w:pPr>
      <w:r>
        <w:rPr>
          <w:rFonts w:ascii="Arial" w:cs="Arial" w:eastAsia="Arial" w:hAnsi="Arial"/>
          <w:b/>
          <w:bCs/>
          <w:color w:val="1E3A5F"/>
          <w:sz w:val="22"/>
          <w:szCs w:val="22"/>
        </w:rPr>
        <w:t xml:space="preserve">C. Developer Margin and Market Power</w:t>
      </w:r>
    </w:p>
    <w:p>
      <w:pPr>
        <w:spacing w:after="140"/>
      </w:pPr>
      <w:r>
        <w:rPr>
          <w:rFonts w:ascii="Arial" w:cs="Arial" w:eastAsia="Arial" w:hAnsi="Arial"/>
          <w:sz w:val="22"/>
          <w:szCs w:val="22"/>
        </w:rPr>
        <w:t xml:space="preserve">In Berlin's Mitte, where land availability is severely constrained, developers hold significant pricing power. The new-construction market is oligopolistic: few projects compete simultaneously, enabling developers to sustain high margins (typically 15–25%) even when the secondary market corrects.</w:t>
      </w:r>
    </w:p>
    <w:p>
      <w:pPr>
        <w:spacing w:after="80" w:before="200"/>
      </w:pPr>
      <w:r>
        <w:rPr>
          <w:rFonts w:ascii="Arial" w:cs="Arial" w:eastAsia="Arial" w:hAnsi="Arial"/>
          <w:b/>
          <w:bCs/>
          <w:color w:val="1E3A5F"/>
          <w:sz w:val="22"/>
          <w:szCs w:val="22"/>
        </w:rPr>
        <w:t xml:space="preserve">D. Quality and Specification Differential</w:t>
      </w:r>
    </w:p>
    <w:p>
      <w:pPr>
        <w:spacing w:after="140"/>
      </w:pPr>
      <w:r>
        <w:rPr>
          <w:rFonts w:ascii="Arial" w:cs="Arial" w:eastAsia="Arial" w:hAnsi="Arial"/>
          <w:sz w:val="22"/>
          <w:szCs w:val="22"/>
        </w:rPr>
        <w:t xml:space="preserve">New units typically offer higher ceilings, modern kitchens, EV-ready parking, and smart-home features that command buyer preference. The premium is not purely cost-driven — it also reflects genuine quality differentiation.</w:t>
      </w:r>
    </w:p>
    <w:p>
      <w:pPr>
        <w:spacing w:after="80" w:before="200"/>
      </w:pPr>
      <w:r>
        <w:rPr>
          <w:rFonts w:ascii="Arial" w:cs="Arial" w:eastAsia="Arial" w:hAnsi="Arial"/>
          <w:b/>
          <w:bCs/>
          <w:color w:val="1E3A5F"/>
          <w:sz w:val="22"/>
          <w:szCs w:val="22"/>
        </w:rPr>
        <w:t xml:space="preserve">E. Rent-Return Convergence Risk</w:t>
      </w:r>
    </w:p>
    <w:p>
      <w:pPr>
        <w:spacing w:after="140"/>
      </w:pPr>
      <w:r>
        <w:rPr>
          <w:rFonts w:ascii="Arial" w:cs="Arial" w:eastAsia="Arial" w:hAnsi="Arial"/>
          <w:sz w:val="22"/>
          <w:szCs w:val="22"/>
        </w:rPr>
        <w:t xml:space="preserve">While gross yields are rising (now 3.6%), the gap between new-construction yield and secondary-market yield has narrowed. An investor buying a new-construction flat at €12,000/m² achieves approximately 2.9% gross yield against 2025 rents, versus 3.6% for a secondary purchase — a 70bp underperformance that must be weighed against quality, depreciation, and exit premium.</w:t>
      </w:r>
    </w:p>
    <w:p>
      <w:pPr>
        <w:pStyle w:val="Heading2"/>
        <w:spacing w:after="120" w:before="300"/>
      </w:pPr>
      <w:r>
        <w:rPr>
          <w:rFonts w:ascii="Arial" w:cs="Arial" w:eastAsia="Arial" w:hAnsi="Arial"/>
          <w:b/>
          <w:bCs/>
          <w:color w:val="2E86AB"/>
          <w:sz w:val="26"/>
          <w:szCs w:val="26"/>
        </w:rPr>
        <w:t xml:space="preserve">3.4 Supply–Demand Gap: Listings Analysis</w:t>
      </w:r>
    </w:p>
    <w:p>
      <w:pPr>
        <w:spacing w:after="140"/>
      </w:pPr>
      <w:r>
        <w:rPr>
          <w:rFonts w:ascii="Arial" w:cs="Arial" w:eastAsia="Arial" w:hAnsi="Arial"/>
          <w:sz w:val="22"/>
          <w:szCs w:val="22"/>
        </w:rPr>
        <w:t xml:space="preserve">The number of secondary listings per month has declined from an average of 107/month (2021) to 91/month (2024), recovering slightly to 98/month in 2025. New-construction listings are even more constrained, averaging just 24–36 units per month — consistent with Berlin's widely-documented housing construction deficit, estimated at over 30,000 units per year for the wider city.</w:t>
      </w:r>
    </w:p>
    <w:p>
      <w:pPr>
        <w:spacing w:after="140"/>
      </w:pPr>
      <w:r>
        <w:rPr>
          <w:rFonts w:ascii="Arial" w:cs="Arial" w:eastAsia="Arial" w:hAnsi="Arial"/>
          <w:sz w:val="22"/>
          <w:szCs w:val="22"/>
        </w:rPr>
        <w:t xml:space="preserve">This supply scarcity is the primary structural driver of both the price gap and the rent escalation trend. Without a meaningful increase in housing completions, upward pressure on both purchase prices and rents is expected to persist.</w:t>
      </w:r>
    </w:p>
    <w:p>
      <w:r>
        <w:br w:type="page"/>
      </w:r>
    </w:p>
    <w:p>
      <w:pPr>
        <w:pStyle w:val="Heading1"/>
        <w:spacing w:after="200" w:before="480"/>
      </w:pPr>
      <w:r>
        <w:rPr>
          <w:rFonts w:ascii="Arial" w:cs="Arial" w:eastAsia="Arial" w:hAnsi="Arial"/>
          <w:b/>
          <w:bCs/>
          <w:color w:val="1E3A5F"/>
          <w:sz w:val="34"/>
          <w:szCs w:val="34"/>
        </w:rPr>
        <w:t xml:space="preserve">4. Market Cycle Analysis</w:t>
      </w:r>
    </w:p>
    <w:p>
      <w:pPr>
        <w:pStyle w:val="Heading2"/>
        <w:spacing w:after="120" w:before="300"/>
      </w:pPr>
      <w:r>
        <w:rPr>
          <w:rFonts w:ascii="Arial" w:cs="Arial" w:eastAsia="Arial" w:hAnsi="Arial"/>
          <w:b/>
          <w:bCs/>
          <w:color w:val="2E86AB"/>
          <w:sz w:val="26"/>
          <w:szCs w:val="26"/>
        </w:rPr>
        <w:t xml:space="preserve">Phase I: Pandemic Stabilisation (2020–2021)</w:t>
      </w:r>
    </w:p>
    <w:p>
      <w:pPr>
        <w:spacing w:after="140"/>
      </w:pPr>
      <w:r>
        <w:rPr>
          <w:rFonts w:ascii="Arial" w:cs="Arial" w:eastAsia="Arial" w:hAnsi="Arial"/>
          <w:sz w:val="22"/>
          <w:szCs w:val="22"/>
        </w:rPr>
        <w:t xml:space="preserve">Despite widespread economic disruption, Mitte demonstrated exceptional resilience. Secondary prices rose from €7,637/m² to €8,253/m² (+8.1%), driven by safe-haven demand, low interest rates (ECB deposit rate: −0.5%), and continued domestic migration to Berlin.</w:t>
      </w:r>
    </w:p>
    <w:p>
      <w:pPr>
        <w:pStyle w:val="ListParagraph"/>
        <w:numPr>
          <w:ilvl w:val="0"/>
          <w:numId w:val="2"/>
        </w:numPr>
        <w:spacing w:after="80"/>
      </w:pPr>
      <w:r>
        <w:rPr>
          <w:rFonts w:ascii="Arial" w:cs="Arial" w:eastAsia="Arial" w:hAnsi="Arial"/>
          <w:b/>
          <w:bCs/>
          <w:sz w:val="22"/>
          <w:szCs w:val="22"/>
        </w:rPr>
        <w:t xml:space="preserve">Price growth: </w:t>
      </w:r>
      <w:r>
        <w:rPr>
          <w:rFonts w:ascii="Arial" w:cs="Arial" w:eastAsia="Arial" w:hAnsi="Arial"/>
          <w:sz w:val="22"/>
          <w:szCs w:val="22"/>
        </w:rPr>
        <w:t xml:space="preserve">+8.1% (secondary), +6.5% (new construction)</w:t>
      </w:r>
    </w:p>
    <w:p>
      <w:pPr>
        <w:pStyle w:val="ListParagraph"/>
        <w:numPr>
          <w:ilvl w:val="0"/>
          <w:numId w:val="2"/>
        </w:numPr>
        <w:spacing w:after="80"/>
      </w:pPr>
      <w:r>
        <w:rPr>
          <w:rFonts w:ascii="Arial" w:cs="Arial" w:eastAsia="Arial" w:hAnsi="Arial"/>
          <w:b/>
          <w:bCs/>
          <w:sz w:val="22"/>
          <w:szCs w:val="22"/>
        </w:rPr>
        <w:t xml:space="preserve">Rent growth: </w:t>
      </w:r>
      <w:r>
        <w:rPr>
          <w:rFonts w:ascii="Arial" w:cs="Arial" w:eastAsia="Arial" w:hAnsi="Arial"/>
          <w:sz w:val="22"/>
          <w:szCs w:val="22"/>
        </w:rPr>
        <w:t xml:space="preserve">+7.1% — strong but measured, constrained by Mietendeckel (rent cap, later overturned)</w:t>
      </w:r>
    </w:p>
    <w:p>
      <w:pPr>
        <w:pStyle w:val="ListParagraph"/>
        <w:numPr>
          <w:ilvl w:val="0"/>
          <w:numId w:val="2"/>
        </w:numPr>
        <w:spacing w:after="80"/>
      </w:pPr>
      <w:r>
        <w:rPr>
          <w:rFonts w:ascii="Arial" w:cs="Arial" w:eastAsia="Arial" w:hAnsi="Arial"/>
          <w:b/>
          <w:bCs/>
          <w:sz w:val="22"/>
          <w:szCs w:val="22"/>
        </w:rPr>
        <w:t xml:space="preserve">Key risk factor: </w:t>
      </w:r>
      <w:r>
        <w:rPr>
          <w:rFonts w:ascii="Arial" w:cs="Arial" w:eastAsia="Arial" w:hAnsi="Arial"/>
          <w:sz w:val="22"/>
          <w:szCs w:val="22"/>
        </w:rPr>
        <w:t xml:space="preserve">Legal uncertainty around Mietendeckel temporarily suppressed rent listings and inflated the secondary price gap</w:t>
      </w:r>
    </w:p>
    <w:p>
      <w:pPr>
        <w:pStyle w:val="Heading2"/>
        <w:spacing w:after="120" w:before="300"/>
      </w:pPr>
      <w:r>
        <w:rPr>
          <w:rFonts w:ascii="Arial" w:cs="Arial" w:eastAsia="Arial" w:hAnsi="Arial"/>
          <w:b/>
          <w:bCs/>
          <w:color w:val="2E86AB"/>
          <w:sz w:val="26"/>
          <w:szCs w:val="26"/>
        </w:rPr>
        <w:t xml:space="preserve">Phase II: Inflation Shock (2022)</w:t>
      </w:r>
    </w:p>
    <w:p>
      <w:pPr>
        <w:spacing w:after="140"/>
      </w:pPr>
      <w:r>
        <w:rPr>
          <w:rFonts w:ascii="Arial" w:cs="Arial" w:eastAsia="Arial" w:hAnsi="Arial"/>
          <w:sz w:val="22"/>
          <w:szCs w:val="22"/>
        </w:rPr>
        <w:t xml:space="preserve">This was the most volatile year in the dataset. Secondary prices surged to €9,473/m² (+14.8% YoY), the largest single-year gain. New construction hit €12,115/m² as building costs spiked; the new–secondary gap widened to 27.9%.</w:t>
      </w:r>
    </w:p>
    <w:p>
      <w:pPr>
        <w:pStyle w:val="ListParagraph"/>
        <w:numPr>
          <w:ilvl w:val="0"/>
          <w:numId w:val="2"/>
        </w:numPr>
        <w:spacing w:after="80"/>
      </w:pPr>
      <w:r>
        <w:rPr>
          <w:rFonts w:ascii="Arial" w:cs="Arial" w:eastAsia="Arial" w:hAnsi="Arial"/>
          <w:b/>
          <w:bCs/>
          <w:sz w:val="22"/>
          <w:szCs w:val="22"/>
        </w:rPr>
        <w:t xml:space="preserve">Drivers: </w:t>
      </w:r>
      <w:r>
        <w:rPr>
          <w:rFonts w:ascii="Arial" w:cs="Arial" w:eastAsia="Arial" w:hAnsi="Arial"/>
          <w:sz w:val="22"/>
          <w:szCs w:val="22"/>
        </w:rPr>
        <w:t xml:space="preserve">Russian invasion of Ukraine → energy crisis → input cost inflation → flight to hard assets</w:t>
      </w:r>
    </w:p>
    <w:p>
      <w:pPr>
        <w:pStyle w:val="ListParagraph"/>
        <w:numPr>
          <w:ilvl w:val="0"/>
          <w:numId w:val="2"/>
        </w:numPr>
        <w:spacing w:after="80"/>
      </w:pPr>
      <w:r>
        <w:rPr>
          <w:rFonts w:ascii="Arial" w:cs="Arial" w:eastAsia="Arial" w:hAnsi="Arial"/>
          <w:b/>
          <w:bCs/>
          <w:sz w:val="22"/>
          <w:szCs w:val="22"/>
        </w:rPr>
        <w:t xml:space="preserve">Rent growth: </w:t>
      </w:r>
      <w:r>
        <w:rPr>
          <w:rFonts w:ascii="Arial" w:cs="Arial" w:eastAsia="Arial" w:hAnsi="Arial"/>
          <w:sz w:val="22"/>
          <w:szCs w:val="22"/>
        </w:rPr>
        <w:t xml:space="preserve">+14.2% — the largest single-year rent jump, reflecting both genuine scarcity and the unwinding of Mietendeckel suppression</w:t>
      </w:r>
    </w:p>
    <w:p>
      <w:pPr>
        <w:pStyle w:val="ListParagraph"/>
        <w:numPr>
          <w:ilvl w:val="0"/>
          <w:numId w:val="2"/>
        </w:numPr>
        <w:spacing w:after="80"/>
      </w:pPr>
      <w:r>
        <w:rPr>
          <w:rFonts w:ascii="Arial" w:cs="Arial" w:eastAsia="Arial" w:hAnsi="Arial"/>
          <w:b/>
          <w:bCs/>
          <w:sz w:val="22"/>
          <w:szCs w:val="22"/>
        </w:rPr>
        <w:t xml:space="preserve">Listing volumes: </w:t>
      </w:r>
      <w:r>
        <w:rPr>
          <w:rFonts w:ascii="Arial" w:cs="Arial" w:eastAsia="Arial" w:hAnsi="Arial"/>
          <w:sz w:val="22"/>
          <w:szCs w:val="22"/>
        </w:rPr>
        <w:t xml:space="preserve">Held broadly stable, suggesting sellers were motivated by price levels rather than forced selling</w:t>
      </w:r>
    </w:p>
    <w:p>
      <w:pPr>
        <w:pStyle w:val="Heading2"/>
        <w:spacing w:after="120" w:before="300"/>
      </w:pPr>
      <w:r>
        <w:rPr>
          <w:rFonts w:ascii="Arial" w:cs="Arial" w:eastAsia="Arial" w:hAnsi="Arial"/>
          <w:b/>
          <w:bCs/>
          <w:color w:val="2E86AB"/>
          <w:sz w:val="26"/>
          <w:szCs w:val="26"/>
        </w:rPr>
        <w:t xml:space="preserve">Phase III: ECB Correction (2023–2024)</w:t>
      </w:r>
    </w:p>
    <w:p>
      <w:pPr>
        <w:spacing w:after="140"/>
      </w:pPr>
      <w:r>
        <w:rPr>
          <w:rFonts w:ascii="Arial" w:cs="Arial" w:eastAsia="Arial" w:hAnsi="Arial"/>
          <w:sz w:val="22"/>
          <w:szCs w:val="22"/>
        </w:rPr>
        <w:t xml:space="preserve">The European Central Bank's fastest rate-hiking cycle in history (from −0.5% to +4.0% between 2022 and 2023) sharply reduced mortgage affordability. Secondary prices declined modestly to €9,058/m² (−4.4% from peak). New-construction prices were stickier, falling only −5.4% from peak.</w:t>
      </w:r>
    </w:p>
    <w:p>
      <w:pPr>
        <w:pStyle w:val="ListParagraph"/>
        <w:numPr>
          <w:ilvl w:val="0"/>
          <w:numId w:val="2"/>
        </w:numPr>
        <w:spacing w:after="80"/>
      </w:pPr>
      <w:r>
        <w:rPr>
          <w:rFonts w:ascii="Arial" w:cs="Arial" w:eastAsia="Arial" w:hAnsi="Arial"/>
          <w:b/>
          <w:bCs/>
          <w:sz w:val="22"/>
          <w:szCs w:val="22"/>
        </w:rPr>
        <w:t xml:space="preserve">Affordability stress: </w:t>
      </w:r>
      <w:r>
        <w:rPr>
          <w:rFonts w:ascii="Arial" w:cs="Arial" w:eastAsia="Arial" w:hAnsi="Arial"/>
          <w:sz w:val="22"/>
          <w:szCs w:val="22"/>
        </w:rPr>
        <w:t xml:space="preserve">A €500,000 mortgage rose from ~€1,200/month (2021) to ~€2,600/month (2023) — pricing out a substantial portion of owner-occupier demand</w:t>
      </w:r>
    </w:p>
    <w:p>
      <w:pPr>
        <w:pStyle w:val="ListParagraph"/>
        <w:numPr>
          <w:ilvl w:val="0"/>
          <w:numId w:val="2"/>
        </w:numPr>
        <w:spacing w:after="80"/>
      </w:pPr>
      <w:r>
        <w:rPr>
          <w:rFonts w:ascii="Arial" w:cs="Arial" w:eastAsia="Arial" w:hAnsi="Arial"/>
          <w:b/>
          <w:bCs/>
          <w:sz w:val="22"/>
          <w:szCs w:val="22"/>
        </w:rPr>
        <w:t xml:space="preserve">Rent divergence: </w:t>
      </w:r>
      <w:r>
        <w:rPr>
          <w:rFonts w:ascii="Arial" w:cs="Arial" w:eastAsia="Arial" w:hAnsi="Arial"/>
          <w:sz w:val="22"/>
          <w:szCs w:val="22"/>
        </w:rPr>
        <w:t xml:space="preserve">Kaltmiete continued to rise (+11.2% over two years), as buyers priced out of ownership were forced to rent — a classic buy-to-rent cycle</w:t>
      </w:r>
    </w:p>
    <w:p>
      <w:pPr>
        <w:pStyle w:val="ListParagraph"/>
        <w:numPr>
          <w:ilvl w:val="0"/>
          <w:numId w:val="2"/>
        </w:numPr>
        <w:spacing w:after="80"/>
      </w:pPr>
      <w:r>
        <w:rPr>
          <w:rFonts w:ascii="Arial" w:cs="Arial" w:eastAsia="Arial" w:hAnsi="Arial"/>
          <w:b/>
          <w:bCs/>
          <w:sz w:val="22"/>
          <w:szCs w:val="22"/>
        </w:rPr>
        <w:t xml:space="preserve">Investment paradox: </w:t>
      </w:r>
      <w:r>
        <w:rPr>
          <w:rFonts w:ascii="Arial" w:cs="Arial" w:eastAsia="Arial" w:hAnsi="Arial"/>
          <w:sz w:val="22"/>
          <w:szCs w:val="22"/>
        </w:rPr>
        <w:t xml:space="preserve">Falling buy prices + rising rents = improving yields (3.36% → 3.52%) — the correction was a buying opportunity for cash-rich or low-LTV investors</w:t>
      </w:r>
    </w:p>
    <w:p>
      <w:pPr>
        <w:pStyle w:val="Heading2"/>
        <w:spacing w:after="120" w:before="300"/>
      </w:pPr>
      <w:r>
        <w:rPr>
          <w:rFonts w:ascii="Arial" w:cs="Arial" w:eastAsia="Arial" w:hAnsi="Arial"/>
          <w:b/>
          <w:bCs/>
          <w:color w:val="2E86AB"/>
          <w:sz w:val="26"/>
          <w:szCs w:val="26"/>
        </w:rPr>
        <w:t xml:space="preserve">Phase IV: Recovery &amp; Expansion (2025–2026)</w:t>
      </w:r>
    </w:p>
    <w:p>
      <w:pPr>
        <w:spacing w:after="140"/>
      </w:pPr>
      <w:r>
        <w:rPr>
          <w:rFonts w:ascii="Arial" w:cs="Arial" w:eastAsia="Arial" w:hAnsi="Arial"/>
          <w:sz w:val="22"/>
          <w:szCs w:val="22"/>
        </w:rPr>
        <w:t xml:space="preserve">With ECB cutting rates beginning mid-2024, mortgage affordability improved and buyer confidence returned. Secondary prices recovered to €9,541/m² by 2025 full year, reaching a new all-time high of €10,014/m² in September 2025.</w:t>
      </w:r>
    </w:p>
    <w:p>
      <w:pPr>
        <w:pStyle w:val="ListParagraph"/>
        <w:numPr>
          <w:ilvl w:val="0"/>
          <w:numId w:val="2"/>
        </w:numPr>
        <w:spacing w:after="80"/>
      </w:pPr>
      <w:r>
        <w:rPr>
          <w:rFonts w:ascii="Arial" w:cs="Arial" w:eastAsia="Arial" w:hAnsi="Arial"/>
          <w:b/>
          <w:bCs/>
          <w:sz w:val="22"/>
          <w:szCs w:val="22"/>
        </w:rPr>
        <w:t xml:space="preserve">Momentum: </w:t>
      </w:r>
      <w:r>
        <w:rPr>
          <w:rFonts w:ascii="Arial" w:cs="Arial" w:eastAsia="Arial" w:hAnsi="Arial"/>
          <w:sz w:val="22"/>
          <w:szCs w:val="22"/>
        </w:rPr>
        <w:t xml:space="preserve">All three metrics (secondary, new construction, rent) at record highs in 2025</w:t>
      </w:r>
    </w:p>
    <w:p>
      <w:pPr>
        <w:pStyle w:val="ListParagraph"/>
        <w:numPr>
          <w:ilvl w:val="0"/>
          <w:numId w:val="2"/>
        </w:numPr>
        <w:spacing w:after="80"/>
      </w:pPr>
      <w:r>
        <w:rPr>
          <w:rFonts w:ascii="Arial" w:cs="Arial" w:eastAsia="Arial" w:hAnsi="Arial"/>
          <w:b/>
          <w:bCs/>
          <w:sz w:val="22"/>
          <w:szCs w:val="22"/>
        </w:rPr>
        <w:t xml:space="preserve">2026 early data: </w:t>
      </w:r>
      <w:r>
        <w:rPr>
          <w:rFonts w:ascii="Arial" w:cs="Arial" w:eastAsia="Arial" w:hAnsi="Arial"/>
          <w:sz w:val="22"/>
          <w:szCs w:val="22"/>
        </w:rPr>
        <w:t xml:space="preserve">Secondary prices at €9,643/m² (Jan–Apr avg.) suggest sustained momentum, though listing volumes remain thin (avg. 46 secondary listings/month)</w:t>
      </w:r>
    </w:p>
    <w:p>
      <w:pPr>
        <w:pStyle w:val="ListParagraph"/>
        <w:numPr>
          <w:ilvl w:val="0"/>
          <w:numId w:val="2"/>
        </w:numPr>
        <w:spacing w:after="80"/>
      </w:pPr>
      <w:r>
        <w:rPr>
          <w:rFonts w:ascii="Arial" w:cs="Arial" w:eastAsia="Arial" w:hAnsi="Arial"/>
          <w:b/>
          <w:bCs/>
          <w:sz w:val="22"/>
          <w:szCs w:val="22"/>
        </w:rPr>
        <w:t xml:space="preserve">Structural shift: </w:t>
      </w:r>
      <w:r>
        <w:rPr>
          <w:rFonts w:ascii="Arial" w:cs="Arial" w:eastAsia="Arial" w:hAnsi="Arial"/>
          <w:sz w:val="22"/>
          <w:szCs w:val="22"/>
        </w:rPr>
        <w:t xml:space="preserve">Yield improvement from 3.07% (2020) to 3.60% (2026 YTD) indicates rents are now structurally outpacing prices — a regime change from pre-2022 dynamics</w:t>
      </w:r>
    </w:p>
    <w:p>
      <w:r>
        <w:br w:type="page"/>
      </w:r>
    </w:p>
    <w:p>
      <w:pPr>
        <w:pStyle w:val="Heading1"/>
        <w:spacing w:after="200" w:before="480"/>
      </w:pPr>
      <w:r>
        <w:rPr>
          <w:rFonts w:ascii="Arial" w:cs="Arial" w:eastAsia="Arial" w:hAnsi="Arial"/>
          <w:b/>
          <w:bCs/>
          <w:color w:val="1E3A5F"/>
          <w:sz w:val="34"/>
          <w:szCs w:val="34"/>
        </w:rPr>
        <w:t xml:space="preserve">5. Yield &amp; Rental Yield Deep-Dive</w:t>
      </w:r>
    </w:p>
    <w:p>
      <w:pPr>
        <w:pStyle w:val="Heading2"/>
        <w:spacing w:after="120" w:before="300"/>
      </w:pPr>
      <w:r>
        <w:rPr>
          <w:rFonts w:ascii="Arial" w:cs="Arial" w:eastAsia="Arial" w:hAnsi="Arial"/>
          <w:b/>
          <w:bCs/>
          <w:color w:val="2E86AB"/>
          <w:sz w:val="26"/>
          <w:szCs w:val="26"/>
        </w:rPr>
        <w:t xml:space="preserve">5.1 Gross Yield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80"/>
        <w:gridCol w:w="1680"/>
        <w:gridCol w:w="1680"/>
        <w:gridCol w:w="1680"/>
        <w:gridCol w:w="1240"/>
      </w:tblGrid>
      <w:tr>
        <w:trPr>
          <w:tblHeader/>
        </w:trPr>
        <w:tc>
          <w:tcPr>
            <w:tcW w:type="dxa" w:w="14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Year</w:t>
            </w:r>
          </w:p>
        </w:tc>
        <w:tc>
          <w:tcPr>
            <w:tcW w:type="dxa" w:w="168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 Price
(€/m²)</w:t>
            </w:r>
          </w:p>
        </w:tc>
        <w:tc>
          <w:tcPr>
            <w:tcW w:type="dxa" w:w="168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Annual Rent
(€/m²/yr)</w:t>
            </w:r>
          </w:p>
        </w:tc>
        <w:tc>
          <w:tcPr>
            <w:tcW w:type="dxa" w:w="168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Gross Yield</w:t>
            </w:r>
          </w:p>
        </w:tc>
        <w:tc>
          <w:tcPr>
            <w:tcW w:type="dxa" w:w="168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YoY Yield Chg</w:t>
            </w:r>
          </w:p>
        </w:tc>
        <w:tc>
          <w:tcPr>
            <w:tcW w:type="dxa" w:w="124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Assessment</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2020</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€7,637</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€234</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3.07%</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w:t>
            </w:r>
          </w:p>
        </w:tc>
        <w:tc>
          <w:tcPr>
            <w:tcW w:type="dxa" w:w="12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Below avg</w:t>
            </w:r>
          </w:p>
        </w:tc>
      </w:tr>
      <w:tr>
        <w:tc>
          <w:tcPr>
            <w:tcW w:type="dxa" w:w="14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2021</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€8,253</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€251</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3.04%</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-0.03pp</w:t>
            </w:r>
          </w:p>
        </w:tc>
        <w:tc>
          <w:tcPr>
            <w:tcW w:type="dxa" w:w="12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Below avg</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2022</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€9,473</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€287</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3.03%</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-0.02pp</w:t>
            </w:r>
          </w:p>
        </w:tc>
        <w:tc>
          <w:tcPr>
            <w:tcW w:type="dxa" w:w="12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Below avg</w:t>
            </w:r>
          </w:p>
        </w:tc>
      </w:tr>
      <w:tr>
        <w:tc>
          <w:tcPr>
            <w:tcW w:type="dxa" w:w="14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2023</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€9,182</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€309</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3.36%</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+0.34pp</w:t>
            </w:r>
          </w:p>
        </w:tc>
        <w:tc>
          <w:tcPr>
            <w:tcW w:type="dxa" w:w="12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Fair</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2024</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€9,058</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€319</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3.52%</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+0.16pp</w:t>
            </w:r>
          </w:p>
        </w:tc>
        <w:tc>
          <w:tcPr>
            <w:tcW w:type="dxa" w:w="12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Good</w:t>
            </w:r>
          </w:p>
        </w:tc>
      </w:tr>
      <w:tr>
        <w:tc>
          <w:tcPr>
            <w:tcW w:type="dxa" w:w="14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2025</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€9,541</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€342</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3.58%</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+0.07pp</w:t>
            </w:r>
          </w:p>
        </w:tc>
        <w:tc>
          <w:tcPr>
            <w:tcW w:type="dxa" w:w="124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Good</w:t>
            </w:r>
          </w:p>
        </w:tc>
      </w:tr>
      <w:tr>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2026*</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€9,643</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€347</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3.60%</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+0.02pp</w:t>
            </w:r>
          </w:p>
        </w:tc>
        <w:tc>
          <w:tcPr>
            <w:tcW w:type="dxa" w:w="12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Good</w:t>
            </w:r>
          </w:p>
        </w:tc>
      </w:tr>
    </w:tbl>
    <w:p>
      <w:pPr>
        <w:spacing w:after="140"/>
      </w:pPr>
      <w:r>
        <w:rPr>
          <w:rFonts w:ascii="Arial" w:cs="Arial" w:eastAsia="Arial" w:hAnsi="Arial"/>
          <w:sz w:val="22"/>
          <w:szCs w:val="22"/>
        </w:rPr>
        <w:t xml:space="preserve">The steady yield improvement from 3.07% to 3.60% represents a meaningful shift in the investment profile of Mitte real estate. This trend is driven by rent growth (+45.8%) materially outpacing price growth (+24.9%) — a dynamic that rewards patient buy-and-hold investors who entered prior to 2022.</w:t>
      </w:r>
    </w:p>
    <w:p>
      <w:pPr>
        <w:pStyle w:val="Heading2"/>
        <w:spacing w:after="120" w:before="300"/>
      </w:pPr>
      <w:r>
        <w:rPr>
          <w:rFonts w:ascii="Arial" w:cs="Arial" w:eastAsia="Arial" w:hAnsi="Arial"/>
          <w:b/>
          <w:bCs/>
          <w:color w:val="2E86AB"/>
          <w:sz w:val="26"/>
          <w:szCs w:val="26"/>
        </w:rPr>
        <w:t xml:space="preserve">5.2 Affordability and Rent Burden</w:t>
      </w:r>
    </w:p>
    <w:p>
      <w:pPr>
        <w:spacing w:after="140"/>
      </w:pPr>
      <w:r>
        <w:rPr>
          <w:rFonts w:ascii="Arial" w:cs="Arial" w:eastAsia="Arial" w:hAnsi="Arial"/>
          <w:sz w:val="22"/>
          <w:szCs w:val="22"/>
        </w:rPr>
        <w:t xml:space="preserve">With kaltmiete at €28.49/m²/month in 2025, a 60m² apartment costs approximately €1,709/month before utilities. Assuming a Berlin household income at the city median (approximately €36,000/year net), rent absorption is approximately 57% of net income — well above the internationally recommended 30% threshold.</w:t>
      </w:r>
    </w:p>
    <w:p>
      <w:pPr>
        <w:spacing w:after="140"/>
      </w:pPr>
      <w:r>
        <w:rPr>
          <w:rFonts w:ascii="Arial" w:cs="Arial" w:eastAsia="Arial" w:hAnsi="Arial"/>
          <w:sz w:val="22"/>
          <w:szCs w:val="22"/>
        </w:rPr>
        <w:t xml:space="preserve">This extreme rent burden is both a social challenge and a market signal: it indicates that the demand for rental housing is non-discretionary for a large share of the population, providing strong downside protection for rental income.</w:t>
      </w:r>
    </w:p>
    <w:p>
      <w:pPr>
        <w:pStyle w:val="Heading2"/>
        <w:spacing w:after="120" w:before="300"/>
      </w:pPr>
      <w:r>
        <w:rPr>
          <w:rFonts w:ascii="Arial" w:cs="Arial" w:eastAsia="Arial" w:hAnsi="Arial"/>
          <w:b/>
          <w:bCs/>
          <w:color w:val="2E86AB"/>
          <w:sz w:val="26"/>
          <w:szCs w:val="26"/>
        </w:rPr>
        <w:t xml:space="preserve">5.3 Net Yield Estimate</w:t>
      </w:r>
    </w:p>
    <w:p>
      <w:pPr>
        <w:spacing w:after="140"/>
      </w:pPr>
      <w:r>
        <w:rPr>
          <w:rFonts w:ascii="Arial" w:cs="Arial" w:eastAsia="Arial" w:hAnsi="Arial"/>
          <w:sz w:val="22"/>
          <w:szCs w:val="22"/>
        </w:rPr>
        <w:t xml:space="preserve">Gross yield (3.58% in 2025) must be adjusted for: property management fees (~5–8% of rent), vacancy allowance (~1–2%), maintenance reserves (~0.5–1% of value p.a.), and Grundsteuer (property tax, ~0.3–0.5% of value). Estimated net yield therefore ranges from approximately 2.2% to 2.8% — still competitive versus German Bunds (2.6% 10Y as of mid-2026) but with a smaller risk premium than pre-2022.</w:t>
      </w:r>
    </w:p>
    <w:p>
      <w:r>
        <w:br w:type="page"/>
      </w:r>
    </w:p>
    <w:p>
      <w:pPr>
        <w:pStyle w:val="Heading1"/>
        <w:spacing w:after="200" w:before="480"/>
      </w:pPr>
      <w:r>
        <w:rPr>
          <w:rFonts w:ascii="Arial" w:cs="Arial" w:eastAsia="Arial" w:hAnsi="Arial"/>
          <w:b/>
          <w:bCs/>
          <w:color w:val="1E3A5F"/>
          <w:sz w:val="34"/>
          <w:szCs w:val="34"/>
        </w:rPr>
        <w:t xml:space="preserve">6. Critical Data &amp; Market Gaps</w:t>
      </w:r>
    </w:p>
    <w:p>
      <w:pPr>
        <w:spacing w:after="140"/>
      </w:pPr>
      <w:r>
        <w:rPr>
          <w:rFonts w:ascii="Arial" w:cs="Arial" w:eastAsia="Arial" w:hAnsi="Arial"/>
          <w:sz w:val="22"/>
          <w:szCs w:val="22"/>
        </w:rPr>
        <w:t xml:space="preserve">A rigorous analysis must acknowledge the limitations of the dataset and identify structural market gaps that affect investment and policy conclusions.</w:t>
      </w:r>
    </w:p>
    <w:p>
      <w:pPr>
        <w:pStyle w:val="Heading2"/>
        <w:spacing w:after="120" w:before="300"/>
      </w:pPr>
      <w:r>
        <w:rPr>
          <w:rFonts w:ascii="Arial" w:cs="Arial" w:eastAsia="Arial" w:hAnsi="Arial"/>
          <w:b/>
          <w:bCs/>
          <w:color w:val="2E86AB"/>
          <w:sz w:val="26"/>
          <w:szCs w:val="26"/>
        </w:rPr>
        <w:t xml:space="preserve">6.1 Dataset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Gap</w:t>
            </w:r>
          </w:p>
        </w:tc>
        <w:tc>
          <w:tcPr>
            <w:tcW w:type="dxa" w:w="40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316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Implication</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Tiergarten coverage</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Data only for Jan–May 2020 (5 months)</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Cannot track Tiergarten through market cycles; cross-sectional comparison only</w:t>
            </w:r>
          </w:p>
        </w:tc>
      </w:tr>
      <w:tr>
        <w:tc>
          <w:tcPr>
            <w:tcW w:type="dxa" w:w="31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No transaction data</w:t>
            </w:r>
          </w:p>
        </w:tc>
        <w:tc>
          <w:tcPr>
            <w:tcW w:type="dxa" w:w="31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Prices are listing prices, not closed transactions</w:t>
            </w:r>
          </w:p>
        </w:tc>
        <w:tc>
          <w:tcPr>
            <w:tcW w:type="dxa" w:w="31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Actual sold prices may differ from asking prices, especially during 2022 peak</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No size/type breakdown</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No differentiation by flat size, floor, or condition</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Premium units (penthouse, large floor area) distort average metrics</w:t>
            </w:r>
          </w:p>
        </w:tc>
      </w:tr>
      <w:tr>
        <w:tc>
          <w:tcPr>
            <w:tcW w:type="dxa" w:w="31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No vacancy data</w:t>
            </w:r>
          </w:p>
        </w:tc>
        <w:tc>
          <w:tcPr>
            <w:tcW w:type="dxa" w:w="31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Listing volume ≠ market vacancy rate</w:t>
            </w:r>
          </w:p>
        </w:tc>
        <w:tc>
          <w:tcPr>
            <w:tcW w:type="dxa" w:w="31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Cannot assess true absorption rate or oversupply risk</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No buyer type data</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No split between owner-occupier and investor purchases</w:t>
            </w:r>
          </w:p>
        </w:tc>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Cannot distinguish structural demand from speculative flows</w:t>
            </w:r>
          </w:p>
        </w:tc>
      </w:tr>
      <w:tr>
        <w:tc>
          <w:tcPr>
            <w:tcW w:type="dxa" w:w="31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USD conversion</w:t>
            </w:r>
          </w:p>
        </w:tc>
        <w:tc>
          <w:tcPr>
            <w:tcW w:type="dxa" w:w="31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USD prices use assumed flat FX rate; EUR/USD fluctuated significantly</w:t>
            </w:r>
          </w:p>
        </w:tc>
        <w:tc>
          <w:tcPr>
            <w:tcW w:type="dxa" w:w="312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USD metrics should not be used for USD-denominated investment analysis without FX overlay</w:t>
            </w:r>
          </w:p>
        </w:tc>
      </w:tr>
    </w:tbl>
    <w:p>
      <w:pPr>
        <w:pStyle w:val="Heading2"/>
        <w:spacing w:after="120" w:before="300"/>
      </w:pPr>
      <w:r>
        <w:rPr>
          <w:rFonts w:ascii="Arial" w:cs="Arial" w:eastAsia="Arial" w:hAnsi="Arial"/>
          <w:b/>
          <w:bCs/>
          <w:color w:val="2E86AB"/>
          <w:sz w:val="26"/>
          <w:szCs w:val="26"/>
        </w:rPr>
        <w:t xml:space="preserve">6.2 Structural Market Gaps</w:t>
      </w:r>
    </w:p>
    <w:p>
      <w:pPr>
        <w:spacing w:after="80" w:before="200"/>
      </w:pPr>
      <w:r>
        <w:rPr>
          <w:rFonts w:ascii="Arial" w:cs="Arial" w:eastAsia="Arial" w:hAnsi="Arial"/>
          <w:b/>
          <w:bCs/>
          <w:color w:val="1E3A5F"/>
          <w:sz w:val="22"/>
          <w:szCs w:val="22"/>
        </w:rPr>
        <w:t xml:space="preserve">Supply Gap</w:t>
      </w:r>
    </w:p>
    <w:p>
      <w:pPr>
        <w:spacing w:after="140"/>
      </w:pPr>
      <w:r>
        <w:rPr>
          <w:rFonts w:ascii="Arial" w:cs="Arial" w:eastAsia="Arial" w:hAnsi="Arial"/>
          <w:sz w:val="22"/>
          <w:szCs w:val="22"/>
        </w:rPr>
        <w:t xml:space="preserve">Berlin's residential construction completions have consistently fallen below demand. The city estimates a deficit of 30,000+ units per year across all districts, with Mitte particularly constrained by land scarcity and heritage protection regulations. This structural undersupply is the single most important factor sustaining long-term price and rent appreciation.</w:t>
      </w:r>
    </w:p>
    <w:p>
      <w:pPr>
        <w:spacing w:after="80" w:before="200"/>
      </w:pPr>
      <w:r>
        <w:rPr>
          <w:rFonts w:ascii="Arial" w:cs="Arial" w:eastAsia="Arial" w:hAnsi="Arial"/>
          <w:b/>
          <w:bCs/>
          <w:color w:val="1E3A5F"/>
          <w:sz w:val="22"/>
          <w:szCs w:val="22"/>
        </w:rPr>
        <w:t xml:space="preserve">Affordability Gap</w:t>
      </w:r>
    </w:p>
    <w:p>
      <w:pPr>
        <w:spacing w:after="140"/>
      </w:pPr>
      <w:r>
        <w:rPr>
          <w:rFonts w:ascii="Arial" w:cs="Arial" w:eastAsia="Arial" w:hAnsi="Arial"/>
          <w:sz w:val="22"/>
          <w:szCs w:val="22"/>
        </w:rPr>
        <w:t xml:space="preserve">The gap between purchase price (€9,541/m² × 60m² = €572,460) and median buyer equity has widened significantly. With mortgage rates at 3.5–4.5% (2025) and prices at peak levels, the required deposit for a standard LTV mortgage is approximately €115,000–170,000 — excluding a large segment of potential first-time buyers and tilting demand toward investor purchasers with equity from other assets.</w:t>
      </w:r>
    </w:p>
    <w:p>
      <w:pPr>
        <w:spacing w:after="80" w:before="200"/>
      </w:pPr>
      <w:r>
        <w:rPr>
          <w:rFonts w:ascii="Arial" w:cs="Arial" w:eastAsia="Arial" w:hAnsi="Arial"/>
          <w:b/>
          <w:bCs/>
          <w:color w:val="1E3A5F"/>
          <w:sz w:val="22"/>
          <w:szCs w:val="22"/>
        </w:rPr>
        <w:t xml:space="preserve">Yield Gap vs. Risk-Free Rate</w:t>
      </w:r>
    </w:p>
    <w:p>
      <w:pPr>
        <w:spacing w:after="140"/>
      </w:pPr>
      <w:r>
        <w:rPr>
          <w:rFonts w:ascii="Arial" w:cs="Arial" w:eastAsia="Arial" w:hAnsi="Arial"/>
          <w:sz w:val="22"/>
          <w:szCs w:val="22"/>
        </w:rPr>
        <w:t xml:space="preserve">The net yield gap (estimated 2.2–2.8% net) versus the German 10-year Bund (2.6% as of mid-2026) has compressed to near zero or even inverted for some scenarios. This represents a fundamental re-rating risk: if interest rates remain elevated, the risk premium of property investment versus bonds becomes insufficiently rewarding, potentially triggering further price corrections — especially for leveraged buyers.</w:t>
      </w:r>
    </w:p>
    <w:p>
      <w:pPr>
        <w:spacing w:after="80" w:before="200"/>
      </w:pPr>
      <w:r>
        <w:rPr>
          <w:rFonts w:ascii="Arial" w:cs="Arial" w:eastAsia="Arial" w:hAnsi="Arial"/>
          <w:b/>
          <w:bCs/>
          <w:color w:val="1E3A5F"/>
          <w:sz w:val="22"/>
          <w:szCs w:val="22"/>
        </w:rPr>
        <w:t xml:space="preserve">Green Premium Gap</w:t>
      </w:r>
    </w:p>
    <w:p>
      <w:pPr>
        <w:spacing w:after="140"/>
      </w:pPr>
      <w:r>
        <w:rPr>
          <w:rFonts w:ascii="Arial" w:cs="Arial" w:eastAsia="Arial" w:hAnsi="Arial"/>
          <w:sz w:val="22"/>
          <w:szCs w:val="22"/>
        </w:rPr>
        <w:t xml:space="preserve">Energy Performance Certificates (EPCs) are not captured in this dataset. Properties with poor EPC ratings (F, G) face growing regulatory risk (EU Energy Performance of Buildings Directive) and a potential discount versus compliant assets. New construction benefits from a growing green premium; older secondary stock faces an increasing retrofitting liability.</w:t>
      </w:r>
    </w:p>
    <w:p>
      <w:r>
        <w:br w:type="page"/>
      </w:r>
    </w:p>
    <w:p>
      <w:pPr>
        <w:pStyle w:val="Heading1"/>
        <w:spacing w:after="200" w:before="480"/>
      </w:pPr>
      <w:r>
        <w:rPr>
          <w:rFonts w:ascii="Arial" w:cs="Arial" w:eastAsia="Arial" w:hAnsi="Arial"/>
          <w:b/>
          <w:bCs/>
          <w:color w:val="1E3A5F"/>
          <w:sz w:val="34"/>
          <w:szCs w:val="34"/>
        </w:rPr>
        <w:t xml:space="preserve">7. Strategic Recommendations</w:t>
      </w:r>
    </w:p>
    <w:p>
      <w:pPr>
        <w:spacing w:after="140"/>
      </w:pPr>
      <w:r>
        <w:rPr>
          <w:rFonts w:ascii="Arial" w:cs="Arial" w:eastAsia="Arial" w:hAnsi="Arial"/>
          <w:sz w:val="22"/>
          <w:szCs w:val="22"/>
        </w:rPr>
        <w:t xml:space="preserve">The following recommendations are segmented by investor profile. All recommendations assume investment in Berlin Bezirk Mitte and incorporate the gap analysis and market cycle findings above.</w:t>
      </w:r>
    </w:p>
    <w:p>
      <w:pPr>
        <w:pStyle w:val="Heading2"/>
        <w:spacing w:after="120" w:before="300"/>
      </w:pPr>
      <w:r>
        <w:rPr>
          <w:rFonts w:ascii="Arial" w:cs="Arial" w:eastAsia="Arial" w:hAnsi="Arial"/>
          <w:b/>
          <w:bCs/>
          <w:color w:val="2E86AB"/>
          <w:sz w:val="26"/>
          <w:szCs w:val="26"/>
        </w:rPr>
        <w:t xml:space="preserve">7.1 Buy-to-Let Investors (Residential Rental)</w:t>
      </w:r>
    </w:p>
    <w:p>
      <w:pPr>
        <w:pStyle w:val="ListParagraph"/>
        <w:numPr>
          <w:ilvl w:val="0"/>
          <w:numId w:val="2"/>
        </w:numPr>
        <w:spacing w:after="80"/>
      </w:pPr>
      <w:r>
        <w:rPr>
          <w:rFonts w:ascii="Arial" w:cs="Arial" w:eastAsia="Arial" w:hAnsi="Arial"/>
          <w:b/>
          <w:bCs/>
          <w:sz w:val="22"/>
          <w:szCs w:val="22"/>
        </w:rPr>
        <w:t xml:space="preserve">Priority action: </w:t>
      </w:r>
      <w:r>
        <w:rPr>
          <w:rFonts w:ascii="Arial" w:cs="Arial" w:eastAsia="Arial" w:hAnsi="Arial"/>
          <w:sz w:val="22"/>
          <w:szCs w:val="22"/>
        </w:rPr>
        <w:t xml:space="preserve">Acquire secondary-market units in the €8,500–9,500/m² range to lock in 3.3–3.6% gross yields before further price appreciation.</w:t>
      </w:r>
    </w:p>
    <w:p>
      <w:pPr>
        <w:pStyle w:val="ListParagraph"/>
        <w:numPr>
          <w:ilvl w:val="0"/>
          <w:numId w:val="2"/>
        </w:numPr>
        <w:spacing w:after="80"/>
      </w:pPr>
      <w:r>
        <w:rPr>
          <w:rFonts w:ascii="Arial" w:cs="Arial" w:eastAsia="Arial" w:hAnsi="Arial"/>
          <w:b/>
          <w:bCs/>
          <w:sz w:val="22"/>
          <w:szCs w:val="22"/>
        </w:rPr>
        <w:t xml:space="preserve">Target specification: </w:t>
      </w:r>
      <w:r>
        <w:rPr>
          <w:rFonts w:ascii="Arial" w:cs="Arial" w:eastAsia="Arial" w:hAnsi="Arial"/>
          <w:sz w:val="22"/>
          <w:szCs w:val="22"/>
        </w:rPr>
        <w:t xml:space="preserve">Units of 45–75m², EPC rating C or better, built post-2000, within walking distance of U-Bahn. Avoid sub-40m² units which face increasing regulatory scrutiny under Zweckentfremdungsverbot.</w:t>
      </w:r>
    </w:p>
    <w:p>
      <w:pPr>
        <w:pStyle w:val="ListParagraph"/>
        <w:numPr>
          <w:ilvl w:val="0"/>
          <w:numId w:val="2"/>
        </w:numPr>
        <w:spacing w:after="80"/>
      </w:pPr>
      <w:r>
        <w:rPr>
          <w:rFonts w:ascii="Arial" w:cs="Arial" w:eastAsia="Arial" w:hAnsi="Arial"/>
          <w:b/>
          <w:bCs/>
          <w:sz w:val="22"/>
          <w:szCs w:val="22"/>
        </w:rPr>
        <w:t xml:space="preserve">Rental strategy: </w:t>
      </w:r>
      <w:r>
        <w:rPr>
          <w:rFonts w:ascii="Arial" w:cs="Arial" w:eastAsia="Arial" w:hAnsi="Arial"/>
          <w:sz w:val="22"/>
          <w:szCs w:val="22"/>
        </w:rPr>
        <w:t xml:space="preserve">Set initial rents at market rate (€28–30/m²/month) and apply annual Mietspiegel-compliant increases. Avoid furnished short-term letting without proper licensing — enforcement in Mitte is active.</w:t>
      </w:r>
    </w:p>
    <w:p>
      <w:pPr>
        <w:pStyle w:val="ListParagraph"/>
        <w:numPr>
          <w:ilvl w:val="0"/>
          <w:numId w:val="2"/>
        </w:numPr>
        <w:spacing w:after="80"/>
      </w:pPr>
      <w:r>
        <w:rPr>
          <w:rFonts w:ascii="Arial" w:cs="Arial" w:eastAsia="Arial" w:hAnsi="Arial"/>
          <w:b/>
          <w:bCs/>
          <w:sz w:val="22"/>
          <w:szCs w:val="22"/>
        </w:rPr>
        <w:t xml:space="preserve">Risk: </w:t>
      </w:r>
      <w:r>
        <w:rPr>
          <w:rFonts w:ascii="Arial" w:cs="Arial" w:eastAsia="Arial" w:hAnsi="Arial"/>
          <w:sz w:val="22"/>
          <w:szCs w:val="22"/>
        </w:rPr>
        <w:t xml:space="preserve">Mietpreisbremse (rent brake) limits re-letting increases to 10% above Mietspiegel. Monitor proposed reforms to Berlin's rent control framework.</w:t>
      </w:r>
    </w:p>
    <w:p>
      <w:pPr>
        <w:pStyle w:val="ListParagraph"/>
        <w:numPr>
          <w:ilvl w:val="0"/>
          <w:numId w:val="2"/>
        </w:numPr>
        <w:spacing w:after="80"/>
      </w:pPr>
      <w:r>
        <w:rPr>
          <w:rFonts w:ascii="Arial" w:cs="Arial" w:eastAsia="Arial" w:hAnsi="Arial"/>
          <w:b/>
          <w:bCs/>
          <w:sz w:val="22"/>
          <w:szCs w:val="22"/>
        </w:rPr>
        <w:t xml:space="preserve">Yield target: </w:t>
      </w:r>
      <w:r>
        <w:rPr>
          <w:rFonts w:ascii="Arial" w:cs="Arial" w:eastAsia="Arial" w:hAnsi="Arial"/>
          <w:sz w:val="22"/>
          <w:szCs w:val="22"/>
        </w:rPr>
        <w:t xml:space="preserve">2.4–2.8% net (after management, maintenance, vacancy, tax) — acceptable for a core asset in a gateway city with low vacancy risk.</w:t>
      </w:r>
    </w:p>
    <w:p>
      <w:pPr>
        <w:pStyle w:val="Heading2"/>
        <w:spacing w:after="120" w:before="300"/>
      </w:pPr>
      <w:r>
        <w:rPr>
          <w:rFonts w:ascii="Arial" w:cs="Arial" w:eastAsia="Arial" w:hAnsi="Arial"/>
          <w:b/>
          <w:bCs/>
          <w:color w:val="2E86AB"/>
          <w:sz w:val="26"/>
          <w:szCs w:val="26"/>
        </w:rPr>
        <w:t xml:space="preserve">7.2 New-Construction Investors &amp; Developers</w:t>
      </w:r>
    </w:p>
    <w:p>
      <w:pPr>
        <w:pStyle w:val="ListParagraph"/>
        <w:numPr>
          <w:ilvl w:val="0"/>
          <w:numId w:val="2"/>
        </w:numPr>
        <w:spacing w:after="80"/>
      </w:pPr>
      <w:r>
        <w:rPr>
          <w:rFonts w:ascii="Arial" w:cs="Arial" w:eastAsia="Arial" w:hAnsi="Arial"/>
          <w:b/>
          <w:bCs/>
          <w:sz w:val="22"/>
          <w:szCs w:val="22"/>
        </w:rPr>
        <w:t xml:space="preserve">Gap opportunity: </w:t>
      </w:r>
      <w:r>
        <w:rPr>
          <w:rFonts w:ascii="Arial" w:cs="Arial" w:eastAsia="Arial" w:hAnsi="Arial"/>
          <w:sz w:val="22"/>
          <w:szCs w:val="22"/>
        </w:rPr>
        <w:t xml:space="preserve">The 25% average premium for new construction is commercially sustainable in Mitte given the quality differential and EPC compliance requirements. Pipeline projects with pre-sales above €11,000/m² remain viable.</w:t>
      </w:r>
    </w:p>
    <w:p>
      <w:pPr>
        <w:pStyle w:val="ListParagraph"/>
        <w:numPr>
          <w:ilvl w:val="0"/>
          <w:numId w:val="2"/>
        </w:numPr>
        <w:spacing w:after="80"/>
      </w:pPr>
      <w:r>
        <w:rPr>
          <w:rFonts w:ascii="Arial" w:cs="Arial" w:eastAsia="Arial" w:hAnsi="Arial"/>
          <w:b/>
          <w:bCs/>
          <w:sz w:val="22"/>
          <w:szCs w:val="22"/>
        </w:rPr>
        <w:t xml:space="preserve">Risk alert: </w:t>
      </w:r>
      <w:r>
        <w:rPr>
          <w:rFonts w:ascii="Arial" w:cs="Arial" w:eastAsia="Arial" w:hAnsi="Arial"/>
          <w:sz w:val="22"/>
          <w:szCs w:val="22"/>
        </w:rPr>
        <w:t xml:space="preserve">New-construction yield (est. 2.7–3.0% gross) is now structurally below secondary-market yield (3.6%). New-build acquisition is difficult to justify purely on yield basis; it must be underwritten on capital appreciation and exit premium.</w:t>
      </w:r>
    </w:p>
    <w:p>
      <w:pPr>
        <w:pStyle w:val="ListParagraph"/>
        <w:numPr>
          <w:ilvl w:val="0"/>
          <w:numId w:val="2"/>
        </w:numPr>
        <w:spacing w:after="80"/>
      </w:pPr>
      <w:r>
        <w:rPr>
          <w:rFonts w:ascii="Arial" w:cs="Arial" w:eastAsia="Arial" w:hAnsi="Arial"/>
          <w:b/>
          <w:bCs/>
          <w:sz w:val="22"/>
          <w:szCs w:val="22"/>
        </w:rPr>
        <w:t xml:space="preserve">Developer recommendation: </w:t>
      </w:r>
      <w:r>
        <w:rPr>
          <w:rFonts w:ascii="Arial" w:cs="Arial" w:eastAsia="Arial" w:hAnsi="Arial"/>
          <w:sz w:val="22"/>
          <w:szCs w:val="22"/>
        </w:rPr>
        <w:t xml:space="preserve">Target mixed-use projects combining residential and micro-commercial space, which are exempt from residential price controls. Rooftop additions and vertical extensions of existing buildings offer the best land-cost economics in Mitte.</w:t>
      </w:r>
    </w:p>
    <w:p>
      <w:pPr>
        <w:pStyle w:val="ListParagraph"/>
        <w:numPr>
          <w:ilvl w:val="0"/>
          <w:numId w:val="2"/>
        </w:numPr>
        <w:spacing w:after="80"/>
      </w:pPr>
      <w:r>
        <w:rPr>
          <w:rFonts w:ascii="Arial" w:cs="Arial" w:eastAsia="Arial" w:hAnsi="Arial"/>
          <w:b/>
          <w:bCs/>
          <w:sz w:val="22"/>
          <w:szCs w:val="22"/>
        </w:rPr>
        <w:t xml:space="preserve">Institutional recommendation: </w:t>
      </w:r>
      <w:r>
        <w:rPr>
          <w:rFonts w:ascii="Arial" w:cs="Arial" w:eastAsia="Arial" w:hAnsi="Arial"/>
          <w:sz w:val="22"/>
          <w:szCs w:val="22"/>
        </w:rPr>
        <w:t xml:space="preserve">Forward-purchase new-build units at contract stage (typically 18–24 months before completion) to capture negotiated pricing 8–12% below launch prices. Structural commitment from a single buyer often motivates developer pricing flexibility.</w:t>
      </w:r>
    </w:p>
    <w:p>
      <w:pPr>
        <w:pStyle w:val="Heading2"/>
        <w:spacing w:after="120" w:before="300"/>
      </w:pPr>
      <w:r>
        <w:rPr>
          <w:rFonts w:ascii="Arial" w:cs="Arial" w:eastAsia="Arial" w:hAnsi="Arial"/>
          <w:b/>
          <w:bCs/>
          <w:color w:val="2E86AB"/>
          <w:sz w:val="26"/>
          <w:szCs w:val="26"/>
        </w:rPr>
        <w:t xml:space="preserve">7.3 Value-Add Investors</w:t>
      </w:r>
    </w:p>
    <w:p>
      <w:pPr>
        <w:pStyle w:val="ListParagraph"/>
        <w:numPr>
          <w:ilvl w:val="0"/>
          <w:numId w:val="2"/>
        </w:numPr>
        <w:spacing w:after="80"/>
      </w:pPr>
      <w:r>
        <w:rPr>
          <w:rFonts w:ascii="Arial" w:cs="Arial" w:eastAsia="Arial" w:hAnsi="Arial"/>
          <w:sz w:val="22"/>
          <w:szCs w:val="22"/>
        </w:rPr>
        <w:t xml:space="preserve">The 2023–2024 correction created, and the 2025 recovery has not fully erased, opportunities to acquire under-maintained secondary units at €8,000–8,800/m² in Mitte. A €500–800/m² refurbishment investment (modern kitchen, bathroom, EPC upgrade) can bridge the gap to repositioned pricing of €9,500–10,500/m².</w:t>
      </w:r>
    </w:p>
    <w:p>
      <w:pPr>
        <w:pStyle w:val="ListParagraph"/>
        <w:numPr>
          <w:ilvl w:val="0"/>
          <w:numId w:val="2"/>
        </w:numPr>
        <w:spacing w:after="80"/>
      </w:pPr>
      <w:r>
        <w:rPr>
          <w:rFonts w:ascii="Arial" w:cs="Arial" w:eastAsia="Arial" w:hAnsi="Arial"/>
          <w:b/>
          <w:bCs/>
          <w:sz w:val="22"/>
          <w:szCs w:val="22"/>
        </w:rPr>
        <w:t xml:space="preserve">EPC upgrade plays: </w:t>
      </w:r>
      <w:r>
        <w:rPr>
          <w:rFonts w:ascii="Arial" w:cs="Arial" w:eastAsia="Arial" w:hAnsi="Arial"/>
          <w:sz w:val="22"/>
          <w:szCs w:val="22"/>
        </w:rPr>
        <w:t xml:space="preserve">Units rated E or F can be eligible for KfW BEG subsidised loans for energy renovation. A successful EPC upgrade from E to B reduces future regulatory liability and supports a rental re-set above Mietspiegel where permitted under Modernisierungsumlage (§559 BGB: up to 8% of renovation cost passed to rent annually).</w:t>
      </w:r>
    </w:p>
    <w:p>
      <w:pPr>
        <w:pStyle w:val="ListParagraph"/>
        <w:numPr>
          <w:ilvl w:val="0"/>
          <w:numId w:val="2"/>
        </w:numPr>
        <w:spacing w:after="80"/>
      </w:pPr>
      <w:r>
        <w:rPr>
          <w:rFonts w:ascii="Arial" w:cs="Arial" w:eastAsia="Arial" w:hAnsi="Arial"/>
          <w:b/>
          <w:bCs/>
          <w:sz w:val="22"/>
          <w:szCs w:val="22"/>
        </w:rPr>
        <w:t xml:space="preserve">Exit strategy: </w:t>
      </w:r>
      <w:r>
        <w:rPr>
          <w:rFonts w:ascii="Arial" w:cs="Arial" w:eastAsia="Arial" w:hAnsi="Arial"/>
          <w:sz w:val="22"/>
          <w:szCs w:val="22"/>
        </w:rPr>
        <w:t xml:space="preserve">Repositioned assets can be sold to institutional or family-office buyers at compressed yields of 3.0–3.3% (net), implying exit values of €10,800–13,000/m² for best-in-class refurbished units.</w:t>
      </w:r>
    </w:p>
    <w:p>
      <w:pPr>
        <w:pStyle w:val="Heading2"/>
        <w:spacing w:after="120" w:before="300"/>
      </w:pPr>
      <w:r>
        <w:rPr>
          <w:rFonts w:ascii="Arial" w:cs="Arial" w:eastAsia="Arial" w:hAnsi="Arial"/>
          <w:b/>
          <w:bCs/>
          <w:color w:val="2E86AB"/>
          <w:sz w:val="26"/>
          <w:szCs w:val="26"/>
        </w:rPr>
        <w:t xml:space="preserve">7.4 Institutional / Portfolio Investors</w:t>
      </w:r>
    </w:p>
    <w:p>
      <w:pPr>
        <w:pStyle w:val="ListParagraph"/>
        <w:numPr>
          <w:ilvl w:val="0"/>
          <w:numId w:val="2"/>
        </w:numPr>
        <w:spacing w:after="80"/>
      </w:pPr>
      <w:r>
        <w:rPr>
          <w:rFonts w:ascii="Arial" w:cs="Arial" w:eastAsia="Arial" w:hAnsi="Arial"/>
          <w:b/>
          <w:bCs/>
          <w:sz w:val="22"/>
          <w:szCs w:val="22"/>
        </w:rPr>
        <w:t xml:space="preserve">Core allocation: </w:t>
      </w:r>
      <w:r>
        <w:rPr>
          <w:rFonts w:ascii="Arial" w:cs="Arial" w:eastAsia="Arial" w:hAnsi="Arial"/>
          <w:sz w:val="22"/>
          <w:szCs w:val="22"/>
        </w:rPr>
        <w:t xml:space="preserve">Mitte secondary market qualifies as a core European residential asset. Target 5–8% portfolio allocation for capital preservation with moderate income.</w:t>
      </w:r>
    </w:p>
    <w:p>
      <w:pPr>
        <w:pStyle w:val="ListParagraph"/>
        <w:numPr>
          <w:ilvl w:val="0"/>
          <w:numId w:val="2"/>
        </w:numPr>
        <w:spacing w:after="80"/>
      </w:pPr>
      <w:r>
        <w:rPr>
          <w:rFonts w:ascii="Arial" w:cs="Arial" w:eastAsia="Arial" w:hAnsi="Arial"/>
          <w:b/>
          <w:bCs/>
          <w:sz w:val="22"/>
          <w:szCs w:val="22"/>
        </w:rPr>
        <w:t xml:space="preserve">Portfolio construction: </w:t>
      </w:r>
      <w:r>
        <w:rPr>
          <w:rFonts w:ascii="Arial" w:cs="Arial" w:eastAsia="Arial" w:hAnsi="Arial"/>
          <w:sz w:val="22"/>
          <w:szCs w:val="22"/>
        </w:rPr>
        <w:t xml:space="preserve">Blend Mitte (Ort) and Tiergarten assets where possible. Tiergarten's 6% premium supports stronger exit pricing but offers lower initial yield.</w:t>
      </w:r>
    </w:p>
    <w:p>
      <w:pPr>
        <w:pStyle w:val="ListParagraph"/>
        <w:numPr>
          <w:ilvl w:val="0"/>
          <w:numId w:val="2"/>
        </w:numPr>
        <w:spacing w:after="80"/>
      </w:pPr>
      <w:r>
        <w:rPr>
          <w:rFonts w:ascii="Arial" w:cs="Arial" w:eastAsia="Arial" w:hAnsi="Arial"/>
          <w:b/>
          <w:bCs/>
          <w:sz w:val="22"/>
          <w:szCs w:val="22"/>
        </w:rPr>
        <w:t xml:space="preserve">Hedging: </w:t>
      </w:r>
      <w:r>
        <w:rPr>
          <w:rFonts w:ascii="Arial" w:cs="Arial" w:eastAsia="Arial" w:hAnsi="Arial"/>
          <w:sz w:val="22"/>
          <w:szCs w:val="22"/>
        </w:rPr>
        <w:t xml:space="preserve">For USD-based investors, note that EUR/USD volatility has averaged 8% annually (2020–2025). Unhedged EUR property exposure carries meaningful FX risk; consider EUR-denominated debt financing as a natural hedge.</w:t>
      </w:r>
    </w:p>
    <w:p>
      <w:pPr>
        <w:pStyle w:val="ListParagraph"/>
        <w:numPr>
          <w:ilvl w:val="0"/>
          <w:numId w:val="2"/>
        </w:numPr>
        <w:spacing w:after="80"/>
      </w:pPr>
      <w:r>
        <w:rPr>
          <w:rFonts w:ascii="Arial" w:cs="Arial" w:eastAsia="Arial" w:hAnsi="Arial"/>
          <w:b/>
          <w:bCs/>
          <w:sz w:val="22"/>
          <w:szCs w:val="22"/>
        </w:rPr>
        <w:t xml:space="preserve">ESG alignment: </w:t>
      </w:r>
      <w:r>
        <w:rPr>
          <w:rFonts w:ascii="Arial" w:cs="Arial" w:eastAsia="Arial" w:hAnsi="Arial"/>
          <w:sz w:val="22"/>
          <w:szCs w:val="22"/>
        </w:rPr>
        <w:t xml:space="preserve">Prioritise new-construction or recently-renovated assets with KfW 55 or better EPC ratings to satisfy increasing LP ESG requirements and reduce stranded-asset risk under EU taxonomy regulations.</w:t>
      </w:r>
    </w:p>
    <w:p>
      <w:pPr>
        <w:pStyle w:val="Heading2"/>
        <w:spacing w:after="120" w:before="300"/>
      </w:pPr>
      <w:r>
        <w:rPr>
          <w:rFonts w:ascii="Arial" w:cs="Arial" w:eastAsia="Arial" w:hAnsi="Arial"/>
          <w:b/>
          <w:bCs/>
          <w:color w:val="2E86AB"/>
          <w:sz w:val="26"/>
          <w:szCs w:val="26"/>
        </w:rPr>
        <w:t xml:space="preserve">7.5 Policy Recommendations</w:t>
      </w:r>
    </w:p>
    <w:p>
      <w:pPr>
        <w:pStyle w:val="ListParagraph"/>
        <w:numPr>
          <w:ilvl w:val="0"/>
          <w:numId w:val="2"/>
        </w:numPr>
        <w:spacing w:after="80"/>
      </w:pPr>
      <w:r>
        <w:rPr>
          <w:rFonts w:ascii="Arial" w:cs="Arial" w:eastAsia="Arial" w:hAnsi="Arial"/>
          <w:b/>
          <w:bCs/>
          <w:sz w:val="22"/>
          <w:szCs w:val="22"/>
        </w:rPr>
        <w:t xml:space="preserve">Supply acceleration: </w:t>
      </w:r>
      <w:r>
        <w:rPr>
          <w:rFonts w:ascii="Arial" w:cs="Arial" w:eastAsia="Arial" w:hAnsi="Arial"/>
          <w:sz w:val="22"/>
          <w:szCs w:val="22"/>
        </w:rPr>
        <w:t xml:space="preserve">The data clearly shows that supply constraints — not speculative demand — are the primary driver of both the price gap and rent escalation. Streamlining planning approval timelines (currently averaging 36+ months in Berlin) would have greater impact on affordability than demand-side interventions.</w:t>
      </w:r>
    </w:p>
    <w:p>
      <w:pPr>
        <w:pStyle w:val="ListParagraph"/>
        <w:numPr>
          <w:ilvl w:val="0"/>
          <w:numId w:val="2"/>
        </w:numPr>
        <w:spacing w:after="80"/>
      </w:pPr>
      <w:r>
        <w:rPr>
          <w:rFonts w:ascii="Arial" w:cs="Arial" w:eastAsia="Arial" w:hAnsi="Arial"/>
          <w:b/>
          <w:bCs/>
          <w:sz w:val="22"/>
          <w:szCs w:val="22"/>
        </w:rPr>
        <w:t xml:space="preserve">Mietendeckel 2.0 risk: </w:t>
      </w:r>
      <w:r>
        <w:rPr>
          <w:rFonts w:ascii="Arial" w:cs="Arial" w:eastAsia="Arial" w:hAnsi="Arial"/>
          <w:sz w:val="22"/>
          <w:szCs w:val="22"/>
        </w:rPr>
        <w:t xml:space="preserve">The political climate in Berlin makes renewed rent control proposals likely. Investors should stress-test cash flows at a capped rent scenario 15–20% below current market rents.</w:t>
      </w:r>
    </w:p>
    <w:p>
      <w:pPr>
        <w:pStyle w:val="ListParagraph"/>
        <w:numPr>
          <w:ilvl w:val="0"/>
          <w:numId w:val="2"/>
        </w:numPr>
        <w:spacing w:after="80"/>
      </w:pPr>
      <w:r>
        <w:rPr>
          <w:rFonts w:ascii="Arial" w:cs="Arial" w:eastAsia="Arial" w:hAnsi="Arial"/>
          <w:b/>
          <w:bCs/>
          <w:sz w:val="22"/>
          <w:szCs w:val="22"/>
        </w:rPr>
        <w:t xml:space="preserve">Social housing gap: </w:t>
      </w:r>
      <w:r>
        <w:rPr>
          <w:rFonts w:ascii="Arial" w:cs="Arial" w:eastAsia="Arial" w:hAnsi="Arial"/>
          <w:sz w:val="22"/>
          <w:szCs w:val="22"/>
        </w:rPr>
        <w:t xml:space="preserve">With rent burden exceeding 50% of median income for a 60m² flat in Mitte, the district is de facto unaffordable for median households. Policy intervention (social housing quotas on new developments, WBS allocation) is increasingly likely and should be priced into development economics.</w:t>
      </w:r>
    </w:p>
    <w:p>
      <w:r>
        <w:br w:type="page"/>
      </w:r>
    </w:p>
    <w:p>
      <w:pPr>
        <w:pStyle w:val="Heading1"/>
        <w:spacing w:after="200" w:before="480"/>
      </w:pPr>
      <w:r>
        <w:rPr>
          <w:rFonts w:ascii="Arial" w:cs="Arial" w:eastAsia="Arial" w:hAnsi="Arial"/>
          <w:b/>
          <w:bCs/>
          <w:color w:val="1E3A5F"/>
          <w:sz w:val="34"/>
          <w:szCs w:val="34"/>
        </w:rPr>
        <w:t xml:space="preserve">8.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1680"/>
        <w:gridCol w:w="1680"/>
      </w:tblGrid>
      <w:tr>
        <w:trPr>
          <w:tblHeader/>
        </w:trPr>
        <w:tc>
          <w:tcPr>
            <w:tcW w:type="dxa" w:w="22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Factor</w:t>
            </w:r>
          </w:p>
        </w:tc>
        <w:tc>
          <w:tcPr>
            <w:tcW w:type="dxa" w:w="20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Likelihood</w:t>
            </w:r>
          </w:p>
        </w:tc>
        <w:tc>
          <w:tcPr>
            <w:tcW w:type="dxa" w:w="180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c>
          <w:tcPr>
            <w:tcW w:type="dxa" w:w="168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 Horizon</w:t>
            </w:r>
          </w:p>
        </w:tc>
        <w:tc>
          <w:tcPr>
            <w:tcW w:type="dxa" w:w="1680"/>
            <w:tcBorders>
              <w:top w:val="single" w:color="2E86AB" w:sz="1"/>
              <w:left w:val="single" w:color="2E86AB" w:sz="1"/>
              <w:bottom w:val="single" w:color="2E86AB" w:sz="1"/>
              <w:right w:val="single" w:color="2E86AB"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Mitigation</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Rent control (Mietendeckel 2.0)</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High</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Medium–High</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1–3 years</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Stress-test at −20% rent; avoid over-leveraged positions</w:t>
            </w:r>
          </w:p>
        </w:tc>
      </w:tr>
      <w:tr>
        <w:tc>
          <w:tcPr>
            <w:tcW w:type="dxa" w:w="22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ECB rate re-hike cycle</w:t>
            </w:r>
          </w:p>
        </w:tc>
        <w:tc>
          <w:tcPr>
            <w:tcW w:type="dxa" w:w="20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Medium</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High</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2–4 years</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Use fixed-rate financing; maintain LTV below 60%</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EPC regulatory tightening</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Medium</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3–7 years</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Acquire units EPC C or better; budget for energy upgrades</w:t>
            </w:r>
          </w:p>
        </w:tc>
      </w:tr>
      <w:tr>
        <w:tc>
          <w:tcPr>
            <w:tcW w:type="dxa" w:w="22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Developer oversupply (Mitte)</w:t>
            </w:r>
          </w:p>
        </w:tc>
        <w:tc>
          <w:tcPr>
            <w:tcW w:type="dxa" w:w="20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Low</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High</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4–8 years</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Monitor pipeline; Mitte land constraints limit systemic risk</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EUR/USD FX risk</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Medium</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Ongoing</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Finance in EUR; use FX forwards for cross-currency investors</w:t>
            </w:r>
          </w:p>
        </w:tc>
      </w:tr>
      <w:tr>
        <w:tc>
          <w:tcPr>
            <w:tcW w:type="dxa" w:w="22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left"/>
            </w:pPr>
            <w:r>
              <w:rPr>
                <w:rFonts w:ascii="Arial" w:cs="Arial" w:eastAsia="Arial" w:hAnsi="Arial"/>
                <w:color w:val="000000"/>
                <w:sz w:val="18"/>
                <w:szCs w:val="18"/>
              </w:rPr>
              <w:t xml:space="preserve">Vacancy / tenant quality</w:t>
            </w:r>
          </w:p>
        </w:tc>
        <w:tc>
          <w:tcPr>
            <w:tcW w:type="dxa" w:w="20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Low</w:t>
            </w:r>
          </w:p>
        </w:tc>
        <w:tc>
          <w:tcPr>
            <w:tcW w:type="dxa" w:w="180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Low</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Ongoing</w:t>
            </w:r>
          </w:p>
        </w:tc>
        <w:tc>
          <w:tcPr>
            <w:tcW w:type="dxa" w:w="1680"/>
            <w:tcBorders>
              <w:top w:val="single" w:color="DDDDDD" w:sz="1"/>
              <w:left w:val="single" w:color="DDDDDD" w:sz="1"/>
              <w:bottom w:val="single" w:color="DDDDDD" w:sz="1"/>
              <w:right w:val="single" w:color="DDDDDD" w:sz="1"/>
            </w:tcBorders>
            <w:shd w:fill="F0F7FD" w:val="clear"/>
            <w:tcMar>
              <w:top w:type="dxa" w:w="60"/>
              <w:left w:type="dxa" w:w="120"/>
              <w:bottom w:type="dxa" w:w="60"/>
              <w:right w:type="dxa" w:w="120"/>
            </w:tcMar>
          </w:tcPr>
          <w:p>
            <w:pPr>
              <w:jc w:val="center"/>
            </w:pPr>
            <w:r>
              <w:rPr>
                <w:rFonts w:ascii="Arial" w:cs="Arial" w:eastAsia="Arial" w:hAnsi="Arial"/>
                <w:color w:val="000000"/>
                <w:sz w:val="18"/>
                <w:szCs w:val="18"/>
              </w:rPr>
              <w:t xml:space="preserve">Rigorous tenant screening; 2–3 months rent deposit standard</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color w:val="000000"/>
                <w:sz w:val="18"/>
                <w:szCs w:val="18"/>
              </w:rPr>
              <w:t xml:space="preserve">Stranded asset (low EPC)</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Medium</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High</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5–10 years</w:t>
            </w:r>
          </w:p>
        </w:tc>
        <w:tc>
          <w:tcPr>
            <w:tcW w:type="dxa" w:w="1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color w:val="000000"/>
                <w:sz w:val="18"/>
                <w:szCs w:val="18"/>
              </w:rPr>
              <w:t xml:space="preserve">Avoid F/G rated stock; factor retrofit cost into acquisition price</w:t>
            </w:r>
          </w:p>
        </w:tc>
      </w:tr>
    </w:tbl>
    <w:p>
      <w:pPr>
        <w:pStyle w:val="Heading1"/>
        <w:spacing w:after="200" w:before="480"/>
      </w:pPr>
      <w:r>
        <w:rPr>
          <w:rFonts w:ascii="Arial" w:cs="Arial" w:eastAsia="Arial" w:hAnsi="Arial"/>
          <w:b/>
          <w:bCs/>
          <w:color w:val="1E3A5F"/>
          <w:sz w:val="34"/>
          <w:szCs w:val="34"/>
        </w:rPr>
        <w:t xml:space="preserve">9. Conclusion</w:t>
      </w:r>
    </w:p>
    <w:p>
      <w:pPr>
        <w:spacing w:after="140"/>
      </w:pPr>
      <w:r>
        <w:rPr>
          <w:rFonts w:ascii="Arial" w:cs="Arial" w:eastAsia="Arial" w:hAnsi="Arial"/>
          <w:sz w:val="22"/>
          <w:szCs w:val="22"/>
        </w:rPr>
        <w:t xml:space="preserve">Berlin Bezirk Mitte presents one of the most compelling, if increasingly priced-in, residential real estate opportunities in continental Europe. The data tells a consistent story: a world-class city location, chronic structural undersupply, and rapidly rising rents that are beginning to close the yield gap versus other asset classes.</w:t>
      </w:r>
    </w:p>
    <w:p>
      <w:pPr>
        <w:spacing w:after="140"/>
      </w:pPr>
      <w:r>
        <w:rPr>
          <w:rFonts w:ascii="Arial" w:cs="Arial" w:eastAsia="Arial" w:hAnsi="Arial"/>
          <w:sz w:val="22"/>
          <w:szCs w:val="22"/>
        </w:rPr>
        <w:t xml:space="preserve">The key analytical insight from this report is the asymmetry between the new-construction premium (structurally driven by cost and regulation) and the rental yield improvement (structurally driven by demand-supply imbalance). Investors who correctly navigated the 2023–2024 ECB correction and acquired at €8,500–9,000/m² secondary pricing are now sitting on approximately 5–8% capital gains in addition to 3.3–3.6% gross rental yields.</w:t>
      </w:r>
    </w:p>
    <w:p>
      <w:pPr>
        <w:spacing w:after="140"/>
      </w:pPr>
      <w:r>
        <w:rPr>
          <w:rFonts w:ascii="Arial" w:cs="Arial" w:eastAsia="Arial" w:hAnsi="Arial"/>
          <w:sz w:val="22"/>
          <w:szCs w:val="22"/>
        </w:rPr>
        <w:t xml:space="preserve">The path forward is narrower. With prices back at or near all-time highs, the margin of safety has compressed. The most prudent strategies are: (1) value-add secondary acquisitions with clear EPC upgrade paths; (2) institutional forward-purchase of new construction at developer-negotiated pricing; and (3) long-hold buy-to-let in the 45–75m² segment where rental demand is deepest.</w:t>
      </w:r>
    </w:p>
    <w:p>
      <w:pPr>
        <w:spacing w:after="140"/>
      </w:pPr>
      <w:r>
        <w:rPr>
          <w:rFonts w:ascii="Arial" w:cs="Arial" w:eastAsia="Arial" w:hAnsi="Arial"/>
          <w:sz w:val="22"/>
          <w:szCs w:val="22"/>
        </w:rPr>
        <w:t xml:space="preserve">The greatest structural risk is not market cyclicality but regulatory risk — specifically, a renewed political push for rent controls. Investors must monitor the Berlin political cycle and ensure their underwriting is robust to a scenario where achievable rents are capped below current market levels.</w:t>
      </w:r>
    </w:p>
    <w:p>
      <w:pPr>
        <w:spacing w:after="140"/>
      </w:pPr>
      <w:r>
        <w:rPr>
          <w:rFonts w:ascii="Arial" w:cs="Arial" w:eastAsia="Arial" w:hAnsi="Arial"/>
          <w:sz w:val="22"/>
          <w:szCs w:val="22"/>
        </w:rPr>
        <w:t xml:space="preserve">Nonetheless, for patient, well-capitalised investors, Bezirk Mitte remains a benchmark residential asset with compelling long-term fundamentals.</w:t>
      </w:r>
    </w:p>
    <w:p>
      <w:pPr>
        <w:pBdr>
          <w:bottom w:val="single" w:color="D1D5DB" w:sz="4" w:space="1"/>
        </w:pBdr>
        <w:spacing w:after="240"/>
      </w:pPr>
    </w:p>
    <w:p>
      <w:pPr>
        <w:spacing w:after="80" w:before="80"/>
      </w:pPr>
      <w:r>
        <w:rPr>
          <w:rFonts w:ascii="Arial" w:cs="Arial" w:eastAsia="Arial" w:hAnsi="Arial"/>
          <w:i/>
          <w:iCs/>
          <w:color w:val="64748B"/>
          <w:sz w:val="18"/>
          <w:szCs w:val="18"/>
        </w:rPr>
        <w:t xml:space="preserve">This report is prepared for analytical purposes based on the provided Berlin Real Estate Dataset. It does not constitute investment advice. All forward-looking statements are the author's analysis and involve uncertainty. Consult qualified legal, tax, and financial advisors before making investment decisions.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spacing w:before="100"/>
      <w:jc w:val="center"/>
    </w:pPr>
    <w:r>
      <w:rPr>
        <w:rFonts w:ascii="Arial" w:cs="Arial" w:eastAsia="Arial" w:hAnsi="Arial"/>
        <w:color w:val="64748B"/>
        <w:sz w:val="17"/>
        <w:szCs w:val="17"/>
      </w:rPr>
      <w:t xml:space="preserve">Page </w:t>
    </w:r>
    <w:fldSimple w:instr="PAGE"/>
    <w:r>
      <w:rPr>
        <w:rFonts w:ascii="Arial" w:cs="Arial" w:eastAsia="Arial" w:hAnsi="Arial"/>
        <w:color w:val="64748B"/>
        <w:sz w:val="17"/>
        <w:szCs w:val="17"/>
      </w:rPr>
      <w:t xml:space="preserve">   |   Source: Berlin Real Estate Dataset   |   Analysis by Claude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1"/>
      </w:pBdr>
      <w:spacing w:after="160"/>
    </w:pPr>
    <w:r>
      <w:rPr>
        <w:rFonts w:ascii="Arial" w:cs="Arial" w:eastAsia="Arial" w:hAnsi="Arial"/>
        <w:b/>
        <w:bCs/>
        <w:color w:val="1E3A5F"/>
        <w:sz w:val="19"/>
        <w:szCs w:val="19"/>
      </w:rPr>
      <w:t xml:space="preserve">BERLIN REAL ESTATE MARKET REPORT</w:t>
    </w:r>
    <w:r>
      <w:rPr>
        <w:rFonts w:ascii="Arial" w:cs="Arial" w:eastAsia="Arial" w:hAnsi="Arial"/>
        <w:color w:val="64748B"/>
        <w:sz w:val="19"/>
        <w:szCs w:val="19"/>
      </w:rPr>
      <w:t xml:space="preserve">   |   Bezirk Mitte, 2020–2026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abstractNum w:abstractNumId="4" w15:restartNumberingAfterBreak="0">
    <w:multiLevelType w:val="hybridMultilevel"/>
    <w:lvl w:ilvl="0" w15:tentative="1">
      <w:start w:val="1"/>
      <w:numFmt w:val="lowerLetter"/>
      <w:lvlText w:val="%1."/>
      <w:lvlJc w:val="left"/>
      <w:pPr>
        <w:spacing w:after="8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2026-06-17T13:19:22.907Z</dcterms:created>
  <dcterms:modified xsi:type="dcterms:W3CDTF">2026-06-17T13:19:22.908Z</dcterms:modified>
</cp:coreProperties>
</file>

<file path=docProps/custom.xml><?xml version="1.0" encoding="utf-8"?>
<Properties xmlns="http://schemas.openxmlformats.org/officeDocument/2006/custom-properties" xmlns:vt="http://schemas.openxmlformats.org/officeDocument/2006/docPropsVTypes"/>
</file>