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0F4C81"/>
          <w:sz w:val="44"/>
        </w:rPr>
        <w:t>0388.HK (HKEX) OLS Regression Modeling Guide</w:t>
      </w:r>
    </w:p>
    <w:p>
      <w:pPr>
        <w:spacing w:after="480"/>
      </w:pPr>
      <w:r>
        <w:rPr>
          <w:rFonts w:ascii="Arial" w:hAnsi="Arial"/>
          <w:i/>
          <w:color w:val="5A6978"/>
          <w:sz w:val="24"/>
        </w:rPr>
        <w:t>Prepared for Quantitative Asset Pricing &amp; Factor Analysis</w:t>
      </w:r>
    </w:p>
    <w:p>
      <w:pPr>
        <w:spacing w:before="240" w:after="160"/>
      </w:pPr>
      <w:r>
        <w:rPr>
          <w:rFonts w:ascii="Arial" w:hAnsi="Arial"/>
          <w:b/>
          <w:color w:val="0F4C81"/>
          <w:sz w:val="28"/>
        </w:rPr>
        <w:t>1. Feature Matrix &amp; Free Data Sources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F4C81"/>
            <w:tcMar>
              <w:top w:w="120" w:type="dxa"/>
              <w:bottom w:w="120" w:type="dxa"/>
              <w:left w:w="120" w:type="dxa"/>
              <w:right w:w="120" w:type="dxa"/>
            </w:tcMar>
          </w:tcPr>
          <w:p>
            <w:pPr>
              <w:jc w:val="left"/>
            </w:pPr>
            <w:r>
              <w:rPr>
                <w:rFonts w:ascii="Arial" w:hAnsi="Arial"/>
                <w:b/>
                <w:color w:val="FFFFFF"/>
                <w:sz w:val="19"/>
              </w:rPr>
              <w:t>Feature Group</w:t>
            </w:r>
          </w:p>
        </w:tc>
        <w:tc>
          <w:tcPr>
            <w:tcW w:type="dxa" w:w="1872"/>
            <w:shd w:fill="0F4C81"/>
            <w:tcMar>
              <w:top w:w="120" w:type="dxa"/>
              <w:bottom w:w="120" w:type="dxa"/>
              <w:left w:w="120" w:type="dxa"/>
              <w:right w:w="120" w:type="dxa"/>
            </w:tcMar>
          </w:tcPr>
          <w:p>
            <w:pPr>
              <w:jc w:val="left"/>
            </w:pPr>
            <w:r>
              <w:rPr>
                <w:rFonts w:ascii="Arial" w:hAnsi="Arial"/>
                <w:b/>
                <w:color w:val="FFFFFF"/>
                <w:sz w:val="19"/>
              </w:rPr>
              <w:t>Specific Feature</w:t>
            </w:r>
          </w:p>
        </w:tc>
        <w:tc>
          <w:tcPr>
            <w:tcW w:type="dxa" w:w="2304"/>
            <w:shd w:fill="0F4C81"/>
            <w:tcMar>
              <w:top w:w="120" w:type="dxa"/>
              <w:bottom w:w="120" w:type="dxa"/>
              <w:left w:w="120" w:type="dxa"/>
              <w:right w:w="120" w:type="dxa"/>
            </w:tcMar>
          </w:tcPr>
          <w:p>
            <w:pPr>
              <w:jc w:val="left"/>
            </w:pPr>
            <w:r>
              <w:rPr>
                <w:rFonts w:ascii="Arial" w:hAnsi="Arial"/>
                <w:b/>
                <w:color w:val="FFFFFF"/>
                <w:sz w:val="19"/>
              </w:rPr>
              <w:t>Economic Rationale</w:t>
            </w:r>
          </w:p>
        </w:tc>
        <w:tc>
          <w:tcPr>
            <w:tcW w:type="dxa" w:w="1584"/>
            <w:shd w:fill="0F4C81"/>
            <w:tcMar>
              <w:top w:w="120" w:type="dxa"/>
              <w:bottom w:w="120" w:type="dxa"/>
              <w:left w:w="120" w:type="dxa"/>
              <w:right w:w="120" w:type="dxa"/>
            </w:tcMar>
          </w:tcPr>
          <w:p>
            <w:pPr>
              <w:jc w:val="left"/>
            </w:pPr>
            <w:r>
              <w:rPr>
                <w:rFonts w:ascii="Arial" w:hAnsi="Arial"/>
                <w:b/>
                <w:color w:val="FFFFFF"/>
                <w:sz w:val="19"/>
              </w:rPr>
              <w:t>Data Source &amp; Ticker</w:t>
            </w:r>
          </w:p>
        </w:tc>
        <w:tc>
          <w:tcPr>
            <w:tcW w:type="dxa" w:w="1872"/>
            <w:shd w:fill="0F4C81"/>
            <w:tcMar>
              <w:top w:w="120" w:type="dxa"/>
              <w:bottom w:w="120" w:type="dxa"/>
              <w:left w:w="120" w:type="dxa"/>
              <w:right w:w="120" w:type="dxa"/>
            </w:tcMar>
          </w:tcPr>
          <w:p>
            <w:pPr>
              <w:jc w:val="left"/>
            </w:pPr>
            <w:r>
              <w:rPr>
                <w:rFonts w:ascii="Arial" w:hAnsi="Arial"/>
                <w:b/>
                <w:color w:val="FFFFFF"/>
                <w:sz w:val="19"/>
              </w:rPr>
              <w:t>OLS Processing Suggestion</w:t>
            </w:r>
          </w:p>
        </w:tc>
      </w:tr>
      <w:tr>
        <w:tc>
          <w:tcPr>
            <w:tcW w:type="dxa" w:w="1728"/>
            <w:shd w:fill="FFFFFF"/>
            <w:tcMar>
              <w:top w:w="100" w:type="dxa"/>
              <w:bottom w:w="100" w:type="dxa"/>
              <w:left w:w="120" w:type="dxa"/>
              <w:right w:w="120" w:type="dxa"/>
            </w:tcMar>
          </w:tcPr>
          <w:p>
            <w:pPr>
              <w:spacing w:line="276" w:lineRule="auto"/>
            </w:pPr>
            <w:r>
              <w:rPr>
                <w:rFonts w:ascii="Arial" w:hAnsi="Arial"/>
                <w:color w:val="333333"/>
                <w:sz w:val="18"/>
              </w:rPr>
              <w:t>Market Liquidity</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Hong Kong Market Daily Turnover</w:t>
            </w:r>
          </w:p>
        </w:tc>
        <w:tc>
          <w:tcPr>
            <w:tcW w:type="dxa" w:w="2304"/>
            <w:shd w:fill="FFFFFF"/>
            <w:tcMar>
              <w:top w:w="100" w:type="dxa"/>
              <w:bottom w:w="100" w:type="dxa"/>
              <w:left w:w="120" w:type="dxa"/>
              <w:right w:w="120" w:type="dxa"/>
            </w:tcMar>
          </w:tcPr>
          <w:p>
            <w:pPr>
              <w:spacing w:line="276" w:lineRule="auto"/>
            </w:pPr>
            <w:r>
              <w:rPr>
                <w:rFonts w:ascii="Arial" w:hAnsi="Arial"/>
                <w:color w:val="333333"/>
                <w:sz w:val="18"/>
              </w:rPr>
              <w:t>Direct driver of trading &amp; clearing fees (HKEX's core revenue).</w:t>
            </w:r>
          </w:p>
        </w:tc>
        <w:tc>
          <w:tcPr>
            <w:tcW w:type="dxa" w:w="1584"/>
            <w:shd w:fill="FFFFFF"/>
            <w:tcMar>
              <w:top w:w="100" w:type="dxa"/>
              <w:bottom w:w="100" w:type="dxa"/>
              <w:left w:w="120" w:type="dxa"/>
              <w:right w:w="120" w:type="dxa"/>
            </w:tcMar>
          </w:tcPr>
          <w:p>
            <w:pPr>
              <w:spacing w:line="276" w:lineRule="auto"/>
            </w:pPr>
            <w:r>
              <w:rPr>
                <w:rFonts w:ascii="Arial" w:hAnsi="Arial"/>
                <w:color w:val="333333"/>
                <w:sz w:val="18"/>
              </w:rPr>
              <w:t>Yahoo Finance (^HSI Volume as proxy) / Investing.com</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Highly right-skewed. Apply log transformation log(X) or use rolling % deviation.</w:t>
            </w:r>
          </w:p>
        </w:tc>
      </w:tr>
      <w:tr>
        <w:tc>
          <w:tcPr>
            <w:tcW w:type="dxa" w:w="1728"/>
            <w:shd w:fill="F9FBFD"/>
            <w:tcMar>
              <w:top w:w="100" w:type="dxa"/>
              <w:bottom w:w="100" w:type="dxa"/>
              <w:left w:w="120" w:type="dxa"/>
              <w:right w:w="120" w:type="dxa"/>
            </w:tcMar>
          </w:tcPr>
          <w:p>
            <w:pPr>
              <w:spacing w:line="276" w:lineRule="auto"/>
            </w:pPr>
            <w:r>
              <w:rPr>
                <w:rFonts w:ascii="Arial" w:hAnsi="Arial"/>
                <w:color w:val="333333"/>
                <w:sz w:val="18"/>
              </w:rPr>
              <w:t>Market Liquidity</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Southbound Net Inflow (北水)</w:t>
            </w:r>
          </w:p>
        </w:tc>
        <w:tc>
          <w:tcPr>
            <w:tcW w:type="dxa" w:w="2304"/>
            <w:shd w:fill="F9FBFD"/>
            <w:tcMar>
              <w:top w:w="100" w:type="dxa"/>
              <w:bottom w:w="100" w:type="dxa"/>
              <w:left w:w="120" w:type="dxa"/>
              <w:right w:w="120" w:type="dxa"/>
            </w:tcMar>
          </w:tcPr>
          <w:p>
            <w:pPr>
              <w:spacing w:line="276" w:lineRule="auto"/>
            </w:pPr>
            <w:r>
              <w:rPr>
                <w:rFonts w:ascii="Arial" w:hAnsi="Arial"/>
                <w:color w:val="333333"/>
                <w:sz w:val="18"/>
              </w:rPr>
              <w:t>Key metric for mainland liquidity &amp; mainland investor sentiment.</w:t>
            </w:r>
          </w:p>
        </w:tc>
        <w:tc>
          <w:tcPr>
            <w:tcW w:type="dxa" w:w="1584"/>
            <w:shd w:fill="F9FBFD"/>
            <w:tcMar>
              <w:top w:w="100" w:type="dxa"/>
              <w:bottom w:w="100" w:type="dxa"/>
              <w:left w:w="120" w:type="dxa"/>
              <w:right w:w="120" w:type="dxa"/>
            </w:tcMar>
          </w:tcPr>
          <w:p>
            <w:pPr>
              <w:spacing w:line="276" w:lineRule="auto"/>
            </w:pPr>
            <w:r>
              <w:rPr>
                <w:rFonts w:ascii="Arial" w:hAnsi="Arial"/>
                <w:color w:val="333333"/>
                <w:sz w:val="18"/>
              </w:rPr>
              <w:t>Futu Open API / HKEX Market Data Daily Report</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Can be positive/negative. Keep raw scale or apply Z-score standardization.</w:t>
            </w:r>
          </w:p>
        </w:tc>
      </w:tr>
      <w:tr>
        <w:tc>
          <w:tcPr>
            <w:tcW w:type="dxa" w:w="1728"/>
            <w:shd w:fill="FFFFFF"/>
            <w:tcMar>
              <w:top w:w="100" w:type="dxa"/>
              <w:bottom w:w="100" w:type="dxa"/>
              <w:left w:w="120" w:type="dxa"/>
              <w:right w:w="120" w:type="dxa"/>
            </w:tcMar>
          </w:tcPr>
          <w:p>
            <w:pPr>
              <w:spacing w:line="276" w:lineRule="auto"/>
            </w:pPr>
            <w:r>
              <w:rPr>
                <w:rFonts w:ascii="Arial" w:hAnsi="Arial"/>
                <w:color w:val="333333"/>
                <w:sz w:val="18"/>
              </w:rPr>
              <w:t>Primary Market</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30-Day Rolling IPO Amount</w:t>
            </w:r>
          </w:p>
        </w:tc>
        <w:tc>
          <w:tcPr>
            <w:tcW w:type="dxa" w:w="2304"/>
            <w:shd w:fill="FFFFFF"/>
            <w:tcMar>
              <w:top w:w="100" w:type="dxa"/>
              <w:bottom w:w="100" w:type="dxa"/>
              <w:left w:w="120" w:type="dxa"/>
              <w:right w:w="120" w:type="dxa"/>
            </w:tcMar>
          </w:tcPr>
          <w:p>
            <w:pPr>
              <w:spacing w:line="276" w:lineRule="auto"/>
            </w:pPr>
            <w:r>
              <w:rPr>
                <w:rFonts w:ascii="Arial" w:hAnsi="Arial"/>
                <w:color w:val="333333"/>
                <w:sz w:val="18"/>
              </w:rPr>
              <w:t>Refers to primary market activity, driving listing &amp; registration fees.</w:t>
            </w:r>
          </w:p>
        </w:tc>
        <w:tc>
          <w:tcPr>
            <w:tcW w:type="dxa" w:w="1584"/>
            <w:shd w:fill="FFFFFF"/>
            <w:tcMar>
              <w:top w:w="100" w:type="dxa"/>
              <w:bottom w:w="100" w:type="dxa"/>
              <w:left w:w="120" w:type="dxa"/>
              <w:right w:w="120" w:type="dxa"/>
            </w:tcMar>
          </w:tcPr>
          <w:p>
            <w:pPr>
              <w:spacing w:line="276" w:lineRule="auto"/>
            </w:pPr>
            <w:r>
              <w:rPr>
                <w:rFonts w:ascii="Arial" w:hAnsi="Arial"/>
                <w:color w:val="333333"/>
                <w:sz w:val="18"/>
              </w:rPr>
              <w:t>HKEXnews Monthly Market Highlights</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Monthly/quarterly native frequency. Convert to 30-day rolling sum to align daily frequency.</w:t>
            </w:r>
          </w:p>
        </w:tc>
      </w:tr>
      <w:tr>
        <w:tc>
          <w:tcPr>
            <w:tcW w:type="dxa" w:w="1728"/>
            <w:shd w:fill="F9FBFD"/>
            <w:tcMar>
              <w:top w:w="100" w:type="dxa"/>
              <w:bottom w:w="100" w:type="dxa"/>
              <w:left w:w="120" w:type="dxa"/>
              <w:right w:w="120" w:type="dxa"/>
            </w:tcMar>
          </w:tcPr>
          <w:p>
            <w:pPr>
              <w:spacing w:line="276" w:lineRule="auto"/>
            </w:pPr>
            <w:r>
              <w:rPr>
                <w:rFonts w:ascii="Arial" w:hAnsi="Arial"/>
                <w:color w:val="333333"/>
                <w:sz w:val="18"/>
              </w:rPr>
              <w:t>Primary Market</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Number of New Listings (IPOs)</w:t>
            </w:r>
          </w:p>
        </w:tc>
        <w:tc>
          <w:tcPr>
            <w:tcW w:type="dxa" w:w="2304"/>
            <w:shd w:fill="F9FBFD"/>
            <w:tcMar>
              <w:top w:w="100" w:type="dxa"/>
              <w:bottom w:w="100" w:type="dxa"/>
              <w:left w:w="120" w:type="dxa"/>
              <w:right w:w="120" w:type="dxa"/>
            </w:tcMar>
          </w:tcPr>
          <w:p>
            <w:pPr>
              <w:spacing w:line="276" w:lineRule="auto"/>
            </w:pPr>
            <w:r>
              <w:rPr>
                <w:rFonts w:ascii="Arial" w:hAnsi="Arial"/>
                <w:color w:val="333333"/>
                <w:sz w:val="18"/>
              </w:rPr>
              <w:t>Complements IPO amount to avoid distortion from single mega-IPOs.</w:t>
            </w:r>
          </w:p>
        </w:tc>
        <w:tc>
          <w:tcPr>
            <w:tcW w:type="dxa" w:w="1584"/>
            <w:shd w:fill="F9FBFD"/>
            <w:tcMar>
              <w:top w:w="100" w:type="dxa"/>
              <w:bottom w:w="100" w:type="dxa"/>
              <w:left w:w="120" w:type="dxa"/>
              <w:right w:w="120" w:type="dxa"/>
            </w:tcMar>
          </w:tcPr>
          <w:p>
            <w:pPr>
              <w:spacing w:line="276" w:lineRule="auto"/>
            </w:pPr>
            <w:r>
              <w:rPr>
                <w:rFonts w:ascii="Arial" w:hAnsi="Arial"/>
                <w:color w:val="333333"/>
                <w:sz w:val="18"/>
              </w:rPr>
              <w:t>HKEXnews Official Statistics</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Check VIF carefully as it co-varies heavily with the rolling IPO amount.</w:t>
            </w:r>
          </w:p>
        </w:tc>
      </w:tr>
      <w:tr>
        <w:tc>
          <w:tcPr>
            <w:tcW w:type="dxa" w:w="1728"/>
            <w:shd w:fill="FFFFFF"/>
            <w:tcMar>
              <w:top w:w="100" w:type="dxa"/>
              <w:bottom w:w="100" w:type="dxa"/>
              <w:left w:w="120" w:type="dxa"/>
              <w:right w:w="120" w:type="dxa"/>
            </w:tcMar>
          </w:tcPr>
          <w:p>
            <w:pPr>
              <w:spacing w:line="276" w:lineRule="auto"/>
            </w:pPr>
            <w:r>
              <w:rPr>
                <w:rFonts w:ascii="Arial" w:hAnsi="Arial"/>
                <w:color w:val="333333"/>
                <w:sz w:val="18"/>
              </w:rPr>
              <w:t>Macro &amp; Valuation</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Hang Seng Index / Tech Index Return</w:t>
            </w:r>
          </w:p>
        </w:tc>
        <w:tc>
          <w:tcPr>
            <w:tcW w:type="dxa" w:w="2304"/>
            <w:shd w:fill="FFFFFF"/>
            <w:tcMar>
              <w:top w:w="100" w:type="dxa"/>
              <w:bottom w:w="100" w:type="dxa"/>
              <w:left w:w="120" w:type="dxa"/>
              <w:right w:w="120" w:type="dxa"/>
            </w:tcMar>
          </w:tcPr>
          <w:p>
            <w:pPr>
              <w:spacing w:line="276" w:lineRule="auto"/>
            </w:pPr>
            <w:r>
              <w:rPr>
                <w:rFonts w:ascii="Arial" w:hAnsi="Arial"/>
                <w:color w:val="333333"/>
                <w:sz w:val="18"/>
              </w:rPr>
              <w:t>Higher market valuation expands HKEX's proprietary investment asset size.</w:t>
            </w:r>
          </w:p>
        </w:tc>
        <w:tc>
          <w:tcPr>
            <w:tcW w:type="dxa" w:w="1584"/>
            <w:shd w:fill="FFFFFF"/>
            <w:tcMar>
              <w:top w:w="100" w:type="dxa"/>
              <w:bottom w:w="100" w:type="dxa"/>
              <w:left w:w="120" w:type="dxa"/>
              <w:right w:w="120" w:type="dxa"/>
            </w:tcMar>
          </w:tcPr>
          <w:p>
            <w:pPr>
              <w:spacing w:line="276" w:lineRule="auto"/>
            </w:pPr>
            <w:r>
              <w:rPr>
                <w:rFonts w:ascii="Arial" w:hAnsi="Arial"/>
                <w:color w:val="333333"/>
                <w:sz w:val="18"/>
              </w:rPr>
              <w:t>Yahoo Finance (^HSI / ^HSTECH)</w:t>
            </w:r>
          </w:p>
        </w:tc>
        <w:tc>
          <w:tcPr>
            <w:tcW w:type="dxa" w:w="1872"/>
            <w:shd w:fill="FFFFFF"/>
            <w:tcMar>
              <w:top w:w="100" w:type="dxa"/>
              <w:bottom w:w="100" w:type="dxa"/>
              <w:left w:w="120" w:type="dxa"/>
              <w:right w:w="120" w:type="dxa"/>
            </w:tcMar>
          </w:tcPr>
          <w:p>
            <w:pPr>
              <w:spacing w:line="276" w:lineRule="auto"/>
            </w:pPr>
            <w:r>
              <w:rPr>
                <w:rFonts w:ascii="Arial" w:hAnsi="Arial"/>
                <w:color w:val="333333"/>
                <w:sz w:val="18"/>
              </w:rPr>
              <w:t>Raw price is non-stationary. Must convert to Daily Return to avoid spurious regression.</w:t>
            </w:r>
          </w:p>
        </w:tc>
      </w:tr>
      <w:tr>
        <w:tc>
          <w:tcPr>
            <w:tcW w:type="dxa" w:w="1728"/>
            <w:shd w:fill="F9FBFD"/>
            <w:tcMar>
              <w:top w:w="100" w:type="dxa"/>
              <w:bottom w:w="100" w:type="dxa"/>
              <w:left w:w="120" w:type="dxa"/>
              <w:right w:w="120" w:type="dxa"/>
            </w:tcMar>
          </w:tcPr>
          <w:p>
            <w:pPr>
              <w:spacing w:line="276" w:lineRule="auto"/>
            </w:pPr>
            <w:r>
              <w:rPr>
                <w:rFonts w:ascii="Arial" w:hAnsi="Arial"/>
                <w:color w:val="333333"/>
                <w:sz w:val="18"/>
              </w:rPr>
              <w:t>Macro &amp; Valuation</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10-Year US TIPS Yield</w:t>
            </w:r>
          </w:p>
        </w:tc>
        <w:tc>
          <w:tcPr>
            <w:tcW w:type="dxa" w:w="2304"/>
            <w:shd w:fill="F9FBFD"/>
            <w:tcMar>
              <w:top w:w="100" w:type="dxa"/>
              <w:bottom w:w="100" w:type="dxa"/>
              <w:left w:w="120" w:type="dxa"/>
              <w:right w:w="120" w:type="dxa"/>
            </w:tcMar>
          </w:tcPr>
          <w:p>
            <w:pPr>
              <w:spacing w:line="276" w:lineRule="auto"/>
            </w:pPr>
            <w:r>
              <w:rPr>
                <w:rFonts w:ascii="Arial" w:hAnsi="Arial"/>
                <w:color w:val="333333"/>
                <w:sz w:val="18"/>
              </w:rPr>
              <w:t>HKD peg ties HKEX to USD rates. High real rates boost net interest income on massive margin deposits.</w:t>
            </w:r>
          </w:p>
        </w:tc>
        <w:tc>
          <w:tcPr>
            <w:tcW w:type="dxa" w:w="1584"/>
            <w:shd w:fill="F9FBFD"/>
            <w:tcMar>
              <w:top w:w="100" w:type="dxa"/>
              <w:bottom w:w="100" w:type="dxa"/>
              <w:left w:w="120" w:type="dxa"/>
              <w:right w:w="120" w:type="dxa"/>
            </w:tcMar>
          </w:tcPr>
          <w:p>
            <w:pPr>
              <w:spacing w:line="276" w:lineRule="auto"/>
            </w:pPr>
            <w:r>
              <w:rPr>
                <w:rFonts w:ascii="Arial" w:hAnsi="Arial"/>
                <w:color w:val="333333"/>
                <w:sz w:val="18"/>
              </w:rPr>
              <w:t>St. Louis FRED (DFII10)</w:t>
            </w:r>
          </w:p>
        </w:tc>
        <w:tc>
          <w:tcPr>
            <w:tcW w:type="dxa" w:w="1872"/>
            <w:shd w:fill="F9FBFD"/>
            <w:tcMar>
              <w:top w:w="100" w:type="dxa"/>
              <w:bottom w:w="100" w:type="dxa"/>
              <w:left w:w="120" w:type="dxa"/>
              <w:right w:w="120" w:type="dxa"/>
            </w:tcMar>
          </w:tcPr>
          <w:p>
            <w:pPr>
              <w:spacing w:line="276" w:lineRule="auto"/>
            </w:pPr>
            <w:r>
              <w:rPr>
                <w:rFonts w:ascii="Arial" w:hAnsi="Arial"/>
                <w:color w:val="333333"/>
                <w:sz w:val="18"/>
              </w:rPr>
              <w:t>Expressed in %. Keep as-is. Crucial for capturing structural interest rate regime shifts.</w:t>
            </w:r>
          </w:p>
        </w:tc>
      </w:tr>
    </w:tbl>
    <w:p>
      <w:pPr>
        <w:spacing w:after="240"/>
      </w:pPr>
    </w:p>
    <w:p>
      <w:pPr>
        <w:spacing w:before="320" w:after="160"/>
      </w:pPr>
      <w:r>
        <w:rPr>
          <w:rFonts w:ascii="Arial" w:hAnsi="Arial"/>
          <w:b/>
          <w:color w:val="0F4C81"/>
          <w:sz w:val="28"/>
        </w:rPr>
        <w:t>2. Critical Reminders &amp; Statistical Guardrails</w:t>
      </w:r>
    </w:p>
    <w:p>
      <w:pPr>
        <w:spacing w:before="80" w:after="160" w:line="276" w:lineRule="auto"/>
        <w:ind w:left="288"/>
      </w:pPr>
      <w:r>
        <w:rPr>
          <w:rFonts w:ascii="Arial" w:hAnsi="Arial"/>
          <w:b/>
          <w:color w:val="0F4C81"/>
          <w:sz w:val="21"/>
        </w:rPr>
        <w:t xml:space="preserve">•  Endogeneity &amp; Lagged Features: </w:t>
      </w:r>
      <w:r>
        <w:rPr>
          <w:rFonts w:ascii="Arial" w:hAnsi="Arial"/>
          <w:color w:val="333333"/>
          <w:sz w:val="20"/>
        </w:rPr>
        <w:t>Simultaneity is a classic trap with exchange stocks. Does market volume drive HKEX price, or does a spiking HKEX price signify systemic volume expansions? To preserve strict causal ordering in OLS, lag all independent variables by exactly 1 period (t-1) to predict target returns at period t.</w:t>
      </w:r>
    </w:p>
    <w:p>
      <w:pPr>
        <w:spacing w:before="80" w:after="160" w:line="276" w:lineRule="auto"/>
        <w:ind w:left="288"/>
      </w:pPr>
      <w:r>
        <w:rPr>
          <w:rFonts w:ascii="Arial" w:hAnsi="Arial"/>
          <w:b/>
          <w:color w:val="0F4C81"/>
          <w:sz w:val="21"/>
        </w:rPr>
        <w:t xml:space="preserve">•  Non-Stationarity &amp; Spurious Regressions: </w:t>
      </w:r>
      <w:r>
        <w:rPr>
          <w:rFonts w:ascii="Arial" w:hAnsi="Arial"/>
          <w:color w:val="333333"/>
          <w:sz w:val="20"/>
        </w:rPr>
        <w:t>Never feed raw price indices (like HSI levels or HKEX stock prices) into an OLS model. Asset prices typically follow a random walk (I(1) processes), which inflates R-squared artificially while generating bogus t-statistics. Always transform price series into stationary daily returns or log differences before fitting.</w:t>
      </w:r>
    </w:p>
    <w:p>
      <w:pPr>
        <w:spacing w:before="80" w:after="160" w:line="276" w:lineRule="auto"/>
        <w:ind w:left="288"/>
      </w:pPr>
      <w:r>
        <w:rPr>
          <w:rFonts w:ascii="Arial" w:hAnsi="Arial"/>
          <w:b/>
          <w:color w:val="0F4C81"/>
          <w:sz w:val="21"/>
        </w:rPr>
        <w:t xml:space="preserve">•  Multicollinearity Inflation (VIF): </w:t>
      </w:r>
      <w:r>
        <w:rPr>
          <w:rFonts w:ascii="Arial" w:hAnsi="Arial"/>
          <w:color w:val="333333"/>
          <w:sz w:val="20"/>
        </w:rPr>
        <w:t>Market turnover and HSI trends often peak concurrently during structural bull runs. Including both unadjusted will blow up the Variance Inflation Factor (VIF), making your beta coefficients unstable and widening your standard errors. Eliminate variables with VIF &gt; 5, or orthogonalize them using residual mapping.</w:t>
      </w:r>
    </w:p>
    <w:p>
      <w:pPr>
        <w:spacing w:before="80" w:after="160" w:line="276" w:lineRule="auto"/>
        <w:ind w:left="288"/>
      </w:pPr>
      <w:r>
        <w:rPr>
          <w:rFonts w:ascii="Arial" w:hAnsi="Arial"/>
          <w:b/>
          <w:color w:val="0F4C81"/>
          <w:sz w:val="21"/>
        </w:rPr>
        <w:t xml:space="preserve">•  Heteroscedasticity Correction: </w:t>
      </w:r>
      <w:r>
        <w:rPr>
          <w:rFonts w:ascii="Arial" w:hAnsi="Arial"/>
          <w:color w:val="333333"/>
          <w:sz w:val="20"/>
        </w:rPr>
        <w:t>Financial return residuals rarely exhibit homoscedasticity; volatility tends to cluster during corrections. If your residual plot reveals a funnel or non-uniform pattern, your standard errors are compromised. Remedy this by employing White's Heteroscedasticity-Consistent Standard Errors (HC1/HC2) or Newey-West standard errors to keep your p-values honest.</w:t>
      </w:r>
    </w:p>
    <w:p>
      <w:pPr>
        <w:spacing w:before="80" w:after="160" w:line="276" w:lineRule="auto"/>
        <w:ind w:left="288"/>
      </w:pPr>
      <w:r>
        <w:rPr>
          <w:rFonts w:ascii="Arial" w:hAnsi="Arial"/>
          <w:b/>
          <w:color w:val="0F4C81"/>
          <w:sz w:val="21"/>
        </w:rPr>
        <w:t xml:space="preserve">•  The Net Investment Income (NII) Factor: </w:t>
      </w:r>
      <w:r>
        <w:rPr>
          <w:rFonts w:ascii="Arial" w:hAnsi="Arial"/>
          <w:color w:val="333333"/>
          <w:sz w:val="20"/>
        </w:rPr>
        <w:t>Historically, 0388's earnings are highly bifurcated: trading volumes dominate during easy-money periods, while interest income earned on clearing house margin deposits rules during high-rate regimes (leveraging the USD-HKD peg). Including 10Y TIPS yields captures this structural macro pivot that volume metrics alone completely miss.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