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4767" w:rsidRDefault="005337C5" w:rsidP="005337C5">
      <w:pPr>
        <w:pStyle w:val="Title"/>
      </w:pPr>
      <w:r>
        <w:t>Gold Price Model: Factor Analysis &amp; Forecast</w:t>
      </w:r>
    </w:p>
    <w:p w:rsidR="005337C5" w:rsidRDefault="005337C5" w:rsidP="005337C5">
      <w:pPr>
        <w:pStyle w:val="Subtitle"/>
      </w:pPr>
      <w:r>
        <w:t>ARDL-ECM Model  |  Data through June 30, 2026  |  Produced June 12, 2026</w:t>
      </w:r>
    </w:p>
    <w:p w:rsidR="005337C5" w:rsidRDefault="005337C5" w:rsidP="005337C5"/>
    <w:p w:rsidR="005337C5" w:rsidRDefault="005337C5" w:rsidP="005337C5">
      <w:pPr>
        <w:pStyle w:val="Heading1"/>
      </w:pPr>
      <w:r>
        <w:t>1. Executive Summary</w:t>
      </w:r>
    </w:p>
    <w:p w:rsidR="005337C5" w:rsidRDefault="005337C5" w:rsidP="005337C5">
      <w:r>
        <w:t>This report presents a 10-factor Autoregressive Distributed Lag Error Correction Model (ARDL-ECM) fitted to monthly gold price data from January 2005 to June 30, 2026. The model explains 83.8% of long-run variation in real gold prices (R² = 0.838) and 36.1% of short-run monthly changes (R² = 0.361). The two dominant short-run drivers are the 10-year TIPS yield (real interest rate, 42.3% of explained variance) and the US Dollar Index (36.8%). Based on factor movements through June 30, 2026, the model forecasts gold at $4,061 per oz for July 2026 (-1.2%), with a 95% confidence range of $4,009 – $4,114.</w:t>
      </w:r>
    </w:p>
    <w:p w:rsidR="005337C5" w:rsidRDefault="005337C5" w:rsidP="005337C5"/>
    <w:p w:rsidR="005337C5" w:rsidRDefault="005337C5" w:rsidP="005337C5">
      <w:pPr>
        <w:pStyle w:val="Heading1"/>
      </w:pPr>
      <w:r>
        <w:t>2. Model Methodology</w:t>
      </w:r>
    </w:p>
    <w:p w:rsidR="005337C5" w:rsidRDefault="005337C5" w:rsidP="005337C5">
      <w:r>
        <w:t>The ARDL-ECM framework is used because it correctly handles a mix of stationary I(0) and non-stationary I(1) variables without requiring all series to be differenced. The model has two layers:</w:t>
      </w:r>
    </w:p>
    <w:p w:rsidR="005337C5" w:rsidRDefault="005337C5" w:rsidP="005337C5">
      <w:r>
        <w:t>Long-run regression: Estimates the cointegrating relationship between real gold prices (log-transformed and CPI-adjusted) and 9 fundamental factors in levels. This captures permanent structural drivers. R-squared of 0.838 means the 9 factors explain 83.8% of the long-run variation in gold prices.</w:t>
      </w:r>
    </w:p>
    <w:p w:rsidR="005337C5" w:rsidRDefault="005337C5" w:rsidP="005337C5">
      <w:r>
        <w:t>Short-run ECM: Regresses monthly changes in log real gold on monthly changes of all factors, plus the lagged Error Correction Term (ECT). The ECT represents how far gold deviated from long-run equilibrium last month, creating a mean-reversion pull.</w:t>
      </w:r>
    </w:p>
    <w:p w:rsidR="005337C5" w:rsidRDefault="005337C5" w:rsidP="005337C5">
      <w:r>
        <w:t>Variable transformation: Gold price is expressed as ln(Nominal Gold / CPI x 100) — log of real gold — which removes scale effects, corrects for heteroscedasticity, and isolates real from nominal price movements. DXY and S&amp;P 500 are also log-transformed. Rate variables (TIPS, Breakeven, VIX, Credit Spread, M2 Growth, EPU) are used in levels.</w:t>
      </w:r>
    </w:p>
    <w:p w:rsidR="005337C5" w:rsidRDefault="005337C5" w:rsidP="005337C5"/>
    <w:p w:rsidR="005337C5" w:rsidRDefault="005337C5" w:rsidP="005337C5">
      <w:pPr>
        <w:pStyle w:val="Heading1"/>
      </w:pPr>
      <w:r>
        <w:lastRenderedPageBreak/>
        <w:t>3. Stationarity Test Results (ADF)</w:t>
      </w:r>
    </w:p>
    <w:p w:rsidR="005337C5" w:rsidRDefault="005337C5" w:rsidP="005337C5">
      <w:r>
        <w:t>The Augmented Dickey-Fuller (ADF) test determines whether each series is stationary I(0) or has a unit root I(1). Non-stationary series in levels become stationary after first differencing. The ECM framework requires this mixed order to be valid.</w:t>
      </w:r>
    </w:p>
    <w:p w:rsidR="005337C5" w:rsidRDefault="005337C5" w:rsidP="005337C5"/>
    <w:tbl>
      <w:tblPr>
        <w:tblStyle w:val="TableGrid"/>
        <w:tblW w:w="0" w:type="auto"/>
        <w:tblLayout w:type="fixed"/>
        <w:tblLook w:val="04A0" w:firstRow="1" w:lastRow="0" w:firstColumn="1" w:lastColumn="0" w:noHBand="0" w:noVBand="1"/>
      </w:tblPr>
      <w:tblGrid>
        <w:gridCol w:w="2394"/>
        <w:gridCol w:w="2394"/>
        <w:gridCol w:w="2394"/>
        <w:gridCol w:w="2394"/>
      </w:tblGrid>
      <w:tr w:rsidR="005337C5" w:rsidTr="005337C5">
        <w:tc>
          <w:tcPr>
            <w:tcW w:w="2394" w:type="dxa"/>
            <w:shd w:val="clear" w:color="auto" w:fill="auto"/>
          </w:tcPr>
          <w:p w:rsidR="005337C5" w:rsidRPr="005337C5" w:rsidRDefault="005337C5" w:rsidP="005337C5">
            <w:pPr>
              <w:rPr>
                <w:b/>
              </w:rPr>
            </w:pPr>
            <w:r>
              <w:rPr>
                <w:b/>
              </w:rPr>
              <w:t>Variable</w:t>
            </w:r>
          </w:p>
        </w:tc>
        <w:tc>
          <w:tcPr>
            <w:tcW w:w="2394" w:type="dxa"/>
            <w:shd w:val="clear" w:color="auto" w:fill="auto"/>
          </w:tcPr>
          <w:p w:rsidR="005337C5" w:rsidRPr="005337C5" w:rsidRDefault="005337C5" w:rsidP="005337C5">
            <w:pPr>
              <w:rPr>
                <w:b/>
              </w:rPr>
            </w:pPr>
            <w:r>
              <w:rPr>
                <w:b/>
              </w:rPr>
              <w:t>Level p-value</w:t>
            </w:r>
          </w:p>
        </w:tc>
        <w:tc>
          <w:tcPr>
            <w:tcW w:w="2394" w:type="dxa"/>
            <w:shd w:val="clear" w:color="auto" w:fill="auto"/>
          </w:tcPr>
          <w:p w:rsidR="005337C5" w:rsidRPr="005337C5" w:rsidRDefault="005337C5" w:rsidP="005337C5">
            <w:pPr>
              <w:rPr>
                <w:b/>
              </w:rPr>
            </w:pPr>
            <w:r>
              <w:rPr>
                <w:b/>
              </w:rPr>
              <w:t>1st Diff p-value</w:t>
            </w:r>
          </w:p>
        </w:tc>
        <w:tc>
          <w:tcPr>
            <w:tcW w:w="2394" w:type="dxa"/>
            <w:shd w:val="clear" w:color="auto" w:fill="auto"/>
          </w:tcPr>
          <w:p w:rsidR="005337C5" w:rsidRPr="005337C5" w:rsidRDefault="005337C5" w:rsidP="005337C5">
            <w:pPr>
              <w:rPr>
                <w:b/>
              </w:rPr>
            </w:pPr>
            <w:r>
              <w:rPr>
                <w:b/>
              </w:rPr>
              <w:t>Integration Order</w:t>
            </w:r>
          </w:p>
        </w:tc>
      </w:tr>
      <w:tr w:rsidR="005337C5" w:rsidTr="005337C5">
        <w:tc>
          <w:tcPr>
            <w:tcW w:w="2394" w:type="dxa"/>
            <w:shd w:val="clear" w:color="auto" w:fill="auto"/>
          </w:tcPr>
          <w:p w:rsidR="005337C5" w:rsidRDefault="005337C5" w:rsidP="005337C5">
            <w:r>
              <w:t>ln_Gold_Real</w:t>
            </w:r>
          </w:p>
        </w:tc>
        <w:tc>
          <w:tcPr>
            <w:tcW w:w="2394" w:type="dxa"/>
            <w:shd w:val="clear" w:color="auto" w:fill="auto"/>
          </w:tcPr>
          <w:p w:rsidR="005337C5" w:rsidRDefault="005337C5" w:rsidP="005337C5">
            <w:r>
              <w:t>0.7097</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I(1)</w:t>
            </w:r>
          </w:p>
        </w:tc>
      </w:tr>
      <w:tr w:rsidR="005337C5" w:rsidTr="005337C5">
        <w:tc>
          <w:tcPr>
            <w:tcW w:w="2394" w:type="dxa"/>
            <w:shd w:val="clear" w:color="auto" w:fill="auto"/>
          </w:tcPr>
          <w:p w:rsidR="005337C5" w:rsidRDefault="005337C5" w:rsidP="005337C5">
            <w:r>
              <w:t>TIPS_10yr</w:t>
            </w:r>
          </w:p>
        </w:tc>
        <w:tc>
          <w:tcPr>
            <w:tcW w:w="2394" w:type="dxa"/>
            <w:shd w:val="clear" w:color="auto" w:fill="auto"/>
          </w:tcPr>
          <w:p w:rsidR="005337C5" w:rsidRDefault="005337C5" w:rsidP="005337C5">
            <w:r>
              <w:t>0.4297</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I(1)</w:t>
            </w:r>
          </w:p>
        </w:tc>
      </w:tr>
      <w:tr w:rsidR="005337C5" w:rsidTr="005337C5">
        <w:tc>
          <w:tcPr>
            <w:tcW w:w="2394" w:type="dxa"/>
            <w:shd w:val="clear" w:color="auto" w:fill="auto"/>
          </w:tcPr>
          <w:p w:rsidR="005337C5" w:rsidRDefault="005337C5" w:rsidP="005337C5">
            <w:r>
              <w:t>Breakeven</w:t>
            </w:r>
          </w:p>
        </w:tc>
        <w:tc>
          <w:tcPr>
            <w:tcW w:w="2394" w:type="dxa"/>
            <w:shd w:val="clear" w:color="auto" w:fill="auto"/>
          </w:tcPr>
          <w:p w:rsidR="005337C5" w:rsidRDefault="005337C5" w:rsidP="005337C5">
            <w:r>
              <w:t>0.0022</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I(0)</w:t>
            </w:r>
          </w:p>
        </w:tc>
      </w:tr>
      <w:tr w:rsidR="005337C5" w:rsidTr="005337C5">
        <w:tc>
          <w:tcPr>
            <w:tcW w:w="2394" w:type="dxa"/>
            <w:shd w:val="clear" w:color="auto" w:fill="auto"/>
          </w:tcPr>
          <w:p w:rsidR="005337C5" w:rsidRDefault="005337C5" w:rsidP="005337C5">
            <w:r>
              <w:t>ln_DXY</w:t>
            </w:r>
          </w:p>
        </w:tc>
        <w:tc>
          <w:tcPr>
            <w:tcW w:w="2394" w:type="dxa"/>
            <w:shd w:val="clear" w:color="auto" w:fill="auto"/>
          </w:tcPr>
          <w:p w:rsidR="005337C5" w:rsidRDefault="005337C5" w:rsidP="005337C5">
            <w:r>
              <w:t>0.5197</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I(1)</w:t>
            </w:r>
          </w:p>
        </w:tc>
      </w:tr>
      <w:tr w:rsidR="005337C5" w:rsidTr="005337C5">
        <w:tc>
          <w:tcPr>
            <w:tcW w:w="2394" w:type="dxa"/>
            <w:shd w:val="clear" w:color="auto" w:fill="auto"/>
          </w:tcPr>
          <w:p w:rsidR="005337C5" w:rsidRDefault="005337C5" w:rsidP="005337C5">
            <w:r>
              <w:t>VIX</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I(0)</w:t>
            </w:r>
          </w:p>
        </w:tc>
      </w:tr>
      <w:tr w:rsidR="005337C5" w:rsidTr="005337C5">
        <w:tc>
          <w:tcPr>
            <w:tcW w:w="2394" w:type="dxa"/>
            <w:shd w:val="clear" w:color="auto" w:fill="auto"/>
          </w:tcPr>
          <w:p w:rsidR="005337C5" w:rsidRDefault="005337C5" w:rsidP="005337C5">
            <w:r>
              <w:t>ln_SP500</w:t>
            </w:r>
          </w:p>
        </w:tc>
        <w:tc>
          <w:tcPr>
            <w:tcW w:w="2394" w:type="dxa"/>
            <w:shd w:val="clear" w:color="auto" w:fill="auto"/>
          </w:tcPr>
          <w:p w:rsidR="005337C5" w:rsidRDefault="005337C5" w:rsidP="005337C5">
            <w:r>
              <w:t>0.9896</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I(1)</w:t>
            </w:r>
          </w:p>
        </w:tc>
      </w:tr>
      <w:tr w:rsidR="005337C5" w:rsidTr="005337C5">
        <w:tc>
          <w:tcPr>
            <w:tcW w:w="2394" w:type="dxa"/>
            <w:shd w:val="clear" w:color="auto" w:fill="auto"/>
          </w:tcPr>
          <w:p w:rsidR="005337C5" w:rsidRDefault="005337C5" w:rsidP="005337C5">
            <w:r>
              <w:t>ln_Oil</w:t>
            </w:r>
          </w:p>
        </w:tc>
        <w:tc>
          <w:tcPr>
            <w:tcW w:w="2394" w:type="dxa"/>
            <w:shd w:val="clear" w:color="auto" w:fill="auto"/>
          </w:tcPr>
          <w:p w:rsidR="005337C5" w:rsidRDefault="005337C5" w:rsidP="005337C5">
            <w:r>
              <w:t>0.0034</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I(0)</w:t>
            </w:r>
          </w:p>
        </w:tc>
      </w:tr>
      <w:tr w:rsidR="005337C5" w:rsidTr="005337C5">
        <w:tc>
          <w:tcPr>
            <w:tcW w:w="2394" w:type="dxa"/>
            <w:shd w:val="clear" w:color="auto" w:fill="auto"/>
          </w:tcPr>
          <w:p w:rsidR="005337C5" w:rsidRDefault="005337C5" w:rsidP="005337C5">
            <w:r>
              <w:t>Credit_Spread</w:t>
            </w:r>
          </w:p>
        </w:tc>
        <w:tc>
          <w:tcPr>
            <w:tcW w:w="2394" w:type="dxa"/>
            <w:shd w:val="clear" w:color="auto" w:fill="auto"/>
          </w:tcPr>
          <w:p w:rsidR="005337C5" w:rsidRDefault="005337C5" w:rsidP="005337C5">
            <w:r>
              <w:t>0.0381</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I(0)</w:t>
            </w:r>
          </w:p>
        </w:tc>
      </w:tr>
      <w:tr w:rsidR="005337C5" w:rsidTr="005337C5">
        <w:tc>
          <w:tcPr>
            <w:tcW w:w="2394" w:type="dxa"/>
            <w:shd w:val="clear" w:color="auto" w:fill="auto"/>
          </w:tcPr>
          <w:p w:rsidR="005337C5" w:rsidRDefault="005337C5" w:rsidP="005337C5">
            <w:r>
              <w:t>M2_Growth</w:t>
            </w:r>
          </w:p>
        </w:tc>
        <w:tc>
          <w:tcPr>
            <w:tcW w:w="2394" w:type="dxa"/>
            <w:shd w:val="clear" w:color="auto" w:fill="auto"/>
          </w:tcPr>
          <w:p w:rsidR="005337C5" w:rsidRDefault="005337C5" w:rsidP="005337C5">
            <w:r>
              <w:t>0.0057</w:t>
            </w:r>
          </w:p>
        </w:tc>
        <w:tc>
          <w:tcPr>
            <w:tcW w:w="2394" w:type="dxa"/>
            <w:shd w:val="clear" w:color="auto" w:fill="auto"/>
          </w:tcPr>
          <w:p w:rsidR="005337C5" w:rsidRDefault="005337C5" w:rsidP="005337C5">
            <w:r>
              <w:t>0.0003</w:t>
            </w:r>
          </w:p>
        </w:tc>
        <w:tc>
          <w:tcPr>
            <w:tcW w:w="2394" w:type="dxa"/>
            <w:shd w:val="clear" w:color="auto" w:fill="auto"/>
          </w:tcPr>
          <w:p w:rsidR="005337C5" w:rsidRDefault="005337C5" w:rsidP="005337C5">
            <w:r>
              <w:t>I(0)</w:t>
            </w:r>
          </w:p>
        </w:tc>
      </w:tr>
      <w:tr w:rsidR="005337C5" w:rsidTr="005337C5">
        <w:tc>
          <w:tcPr>
            <w:tcW w:w="2394" w:type="dxa"/>
            <w:shd w:val="clear" w:color="auto" w:fill="auto"/>
          </w:tcPr>
          <w:p w:rsidR="005337C5" w:rsidRDefault="005337C5" w:rsidP="005337C5">
            <w:r>
              <w:t>EPU</w:t>
            </w:r>
          </w:p>
        </w:tc>
        <w:tc>
          <w:tcPr>
            <w:tcW w:w="2394" w:type="dxa"/>
            <w:shd w:val="clear" w:color="auto" w:fill="auto"/>
          </w:tcPr>
          <w:p w:rsidR="005337C5" w:rsidRDefault="005337C5" w:rsidP="005337C5">
            <w:r>
              <w:t>0.0454</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I(0)</w:t>
            </w:r>
          </w:p>
        </w:tc>
      </w:tr>
    </w:tbl>
    <w:p w:rsidR="005337C5" w:rsidRDefault="005337C5" w:rsidP="005337C5"/>
    <w:p w:rsidR="005337C5" w:rsidRDefault="005337C5" w:rsidP="005337C5"/>
    <w:p w:rsidR="005337C5" w:rsidRDefault="005337C5" w:rsidP="005337C5">
      <w:pPr>
        <w:pStyle w:val="Heading1"/>
      </w:pPr>
      <w:r>
        <w:t>4. Feature Explanations and Implications</w:t>
      </w:r>
    </w:p>
    <w:p w:rsidR="005337C5" w:rsidRDefault="005337C5" w:rsidP="005337C5">
      <w:r>
        <w:t>The following section explains each of the 10 factors in the model: what it measures, why it is theoretically linked to gold prices, and what the model coefficients imply.</w:t>
      </w:r>
    </w:p>
    <w:p w:rsidR="005337C5" w:rsidRDefault="005337C5" w:rsidP="005337C5">
      <w:pPr>
        <w:pStyle w:val="Heading2"/>
      </w:pPr>
      <w:r>
        <w:t>4.1  10-Year TIPS Yield (Real Interest Rate)</w:t>
      </w:r>
    </w:p>
    <w:p w:rsidR="005337C5" w:rsidRDefault="005337C5" w:rsidP="005337C5">
      <w:r>
        <w:t>Source: FRED: DFII10   |   Latest value: 2.16%</w:t>
      </w:r>
    </w:p>
    <w:p w:rsidR="005337C5" w:rsidRDefault="005337C5" w:rsidP="005337C5">
      <w:r>
        <w:t>What it measures: The yield on 10-Year Treasury Inflation-Protected Securities represents the real (inflation-adjusted) interest rate. Since gold earns no yield, it competes directly with interest-bearing safe assets. When real rates rise, the opportunity cost of holding gold increases and investors prefer bonds.</w:t>
      </w:r>
    </w:p>
    <w:p w:rsidR="005337C5" w:rsidRDefault="005337C5" w:rsidP="005337C5">
      <w:r>
        <w:t>Model implication: A 100bps rise in the TIPS yield reduces gold prices by approximately 8.4% in the short run (model coefficient: -0.0836). This is consistently the single strongest short-run driver, explaining 42.3% of modelled variance. Watch for Fed policy shifts and inflation surprises as primary catalysts.</w:t>
      </w:r>
    </w:p>
    <w:p w:rsidR="005337C5" w:rsidRDefault="005337C5" w:rsidP="005337C5">
      <w:r>
        <w:t>Direction: Negative — rising real rates pressure gold down</w:t>
      </w:r>
    </w:p>
    <w:p w:rsidR="005337C5" w:rsidRDefault="005337C5" w:rsidP="005337C5"/>
    <w:p w:rsidR="005337C5" w:rsidRDefault="005337C5" w:rsidP="005337C5">
      <w:pPr>
        <w:pStyle w:val="Heading2"/>
      </w:pPr>
      <w:r>
        <w:t>4.2  10-Year Breakeven Inflation Rate</w:t>
      </w:r>
    </w:p>
    <w:p w:rsidR="005337C5" w:rsidRDefault="005337C5" w:rsidP="005337C5">
      <w:r>
        <w:t>Source: FRED: T10YIE   |   Latest value: 2.29%</w:t>
      </w:r>
    </w:p>
    <w:p w:rsidR="005337C5" w:rsidRDefault="005337C5" w:rsidP="005337C5">
      <w:r>
        <w:lastRenderedPageBreak/>
        <w:t>What it measures: The breakeven inflation rate is derived as the difference between the nominal 10-year Treasury yield and the 10-year TIPS yield. It reflects the market's consensus expectation of average inflation over the next 10 years — the rate at which TIPS and nominal Treasuries deliver the same return.</w:t>
      </w:r>
    </w:p>
    <w:p w:rsidR="005337C5" w:rsidRDefault="005337C5" w:rsidP="005337C5">
      <w:r>
        <w:t>Model implication: Significant in the long run (coef: -0.1012, p=0.042) but not in the short run. This means inflation expectations drive gold's fundamental value over years, but monthly price swings are dominated by the real rate and dollar rather than inflation narrative shifts. Long-term: higher expected inflation supports gold.</w:t>
      </w:r>
    </w:p>
    <w:p w:rsidR="005337C5" w:rsidRDefault="005337C5" w:rsidP="005337C5">
      <w:r>
        <w:t>Direction: Positive long-run, not significant short-run</w:t>
      </w:r>
    </w:p>
    <w:p w:rsidR="005337C5" w:rsidRDefault="005337C5" w:rsidP="005337C5"/>
    <w:p w:rsidR="005337C5" w:rsidRDefault="005337C5" w:rsidP="005337C5">
      <w:pPr>
        <w:pStyle w:val="Heading2"/>
      </w:pPr>
      <w:r>
        <w:t>4.3  US Dollar Index — DXY (log)</w:t>
      </w:r>
    </w:p>
    <w:p w:rsidR="005337C5" w:rsidRDefault="005337C5" w:rsidP="005337C5">
      <w:r>
        <w:t>Source: Yahoo Finance: DX-Y.NYB   |   Latest value: 99.95</w:t>
      </w:r>
    </w:p>
    <w:p w:rsidR="005337C5" w:rsidRDefault="005337C5" w:rsidP="005337C5">
      <w:r>
        <w:t>What it measures: The DXY measures the US dollar against a basket of 6 major currencies (EUR, JPY, GBP, CAD, SEK, CHF). Gold is priced in US dollars globally, so a stronger dollar makes gold more expensive for non-US buyers, reducing global demand. Conversely, dollar weakness boosts gold demand internationally.</w:t>
      </w:r>
    </w:p>
    <w:p w:rsidR="005337C5" w:rsidRDefault="005337C5" w:rsidP="005337C5">
      <w:r>
        <w:t>Model implication: Strongest consistently significant driver after real rates. A 1% rise in the DXY reduces gold by 0.82% in the same month (coef: -0.8151, p&lt;0.001), explaining 36.8% of modelled variance. Dollar moves driven by Fed policy, trade balances, and global risk sentiment all pass through to gold via this channel.</w:t>
      </w:r>
    </w:p>
    <w:p w:rsidR="005337C5" w:rsidRDefault="005337C5" w:rsidP="005337C5">
      <w:r>
        <w:t>Direction: Negative — strong dollar suppresses gold</w:t>
      </w:r>
    </w:p>
    <w:p w:rsidR="005337C5" w:rsidRDefault="005337C5" w:rsidP="005337C5"/>
    <w:p w:rsidR="005337C5" w:rsidRDefault="005337C5" w:rsidP="005337C5">
      <w:pPr>
        <w:pStyle w:val="Heading2"/>
      </w:pPr>
      <w:r>
        <w:t>4.4  CBOE Volatility Index — VIX</w:t>
      </w:r>
    </w:p>
    <w:p w:rsidR="005337C5" w:rsidRDefault="005337C5" w:rsidP="005337C5">
      <w:r>
        <w:t>Source: Yahoo Finance: ^VIX   |   Latest value: 22.22</w:t>
      </w:r>
    </w:p>
    <w:p w:rsidR="005337C5" w:rsidRDefault="005337C5" w:rsidP="005337C5">
      <w:r>
        <w:t>What it measures: The VIX measures the market's expectation of 30-day S&amp;P 500 volatility, derived from options prices. Often called the 'fear gauge', it spikes during market stress events (financial crises, geopolitical shocks, pandemics) and falls in calm, risk-on periods.</w:t>
      </w:r>
    </w:p>
    <w:p w:rsidR="005337C5" w:rsidRDefault="005337C5" w:rsidP="005337C5">
      <w:r>
        <w:t>Model implication: Significant in the long run (coef: -0.0056) but not short run. Surprisingly, higher VIX is associated with lower real gold prices in the long-run model — this is because elevated VIX often accompanies dollar strengthening (flight to USD safety), which offsets gold's safe-haven appeal. In practice, gold and VIX often spike together in the first days of a crisis before diverging.</w:t>
      </w:r>
    </w:p>
    <w:p w:rsidR="005337C5" w:rsidRDefault="005337C5" w:rsidP="005337C5">
      <w:r>
        <w:t>Direction: Complex — negative long-run, mixed short-run</w:t>
      </w:r>
    </w:p>
    <w:p w:rsidR="005337C5" w:rsidRDefault="005337C5" w:rsidP="005337C5"/>
    <w:p w:rsidR="005337C5" w:rsidRDefault="005337C5" w:rsidP="005337C5">
      <w:pPr>
        <w:pStyle w:val="Heading2"/>
      </w:pPr>
      <w:r>
        <w:lastRenderedPageBreak/>
        <w:t>4.5  S&amp;P 500 Index (log)</w:t>
      </w:r>
    </w:p>
    <w:p w:rsidR="005337C5" w:rsidRDefault="005337C5" w:rsidP="005337C5">
      <w:r>
        <w:t>Source: Yahoo Finance: ^GSPC   |   Latest value: 7,267</w:t>
      </w:r>
    </w:p>
    <w:p w:rsidR="005337C5" w:rsidRDefault="005337C5" w:rsidP="005337C5">
      <w:r>
        <w:t>What it measures: The S&amp;P 500 represents the performance of 500 large US companies and serves as the benchmark for US equity markets. It captures risk appetite: when equities rise, investors are in risk-on mode; when they fall, safe-haven demand — including for gold — tends to rise.</w:t>
      </w:r>
    </w:p>
    <w:p w:rsidR="005337C5" w:rsidRDefault="005337C5" w:rsidP="005337C5">
      <w:r>
        <w:t>Model implication: Positive and significant in the long run (coef: 0.6057, p&lt;0.001), suggesting gold and equities both rise in sustained bull markets (driven by inflation and liquidity). In the short run, mildly negative (coef: -0.1900, p=0.066) — equity rallies slightly reduce gold demand by reducing safe-haven pressure. Explains 3.6% of short-run variance.</w:t>
      </w:r>
    </w:p>
    <w:p w:rsidR="005337C5" w:rsidRDefault="005337C5" w:rsidP="005337C5">
      <w:r>
        <w:t>Direction: Positive long-run (inflation/liquidity), negative short-run (risk rotation)</w:t>
      </w:r>
    </w:p>
    <w:p w:rsidR="005337C5" w:rsidRDefault="005337C5" w:rsidP="005337C5"/>
    <w:p w:rsidR="005337C5" w:rsidRDefault="005337C5" w:rsidP="005337C5">
      <w:pPr>
        <w:pStyle w:val="Heading2"/>
      </w:pPr>
      <w:r>
        <w:t>4.6  WTI Crude Oil Price (log)</w:t>
      </w:r>
    </w:p>
    <w:p w:rsidR="005337C5" w:rsidRDefault="005337C5" w:rsidP="005337C5">
      <w:r>
        <w:t>Source: Yahoo Finance: CL=F   |   Latest value: $90.03/bbl</w:t>
      </w:r>
    </w:p>
    <w:p w:rsidR="005337C5" w:rsidRDefault="005337C5" w:rsidP="005337C5">
      <w:r>
        <w:t>What it measures: West Texas Intermediate (WTI) crude oil is the US benchmark for crude oil prices. Gold and oil share commodity market dynamics: both are sensitive to geopolitical disruptions, dollar movements, and inflation expectations. Rising oil often signals broader inflationary pressure which supports gold.</w:t>
      </w:r>
    </w:p>
    <w:p w:rsidR="005337C5" w:rsidRDefault="005337C5" w:rsidP="005337C5">
      <w:r>
        <w:t>Model implication: Significant in the long run (coef: 0.2076, p=0.001) — a 10% rise in oil is associated with a 2.1% rise in real gold over time. However, not significant in the short run (p=0.962). This means oil works as a slow-moving fundamental driver rather than a month-to-month signal. Geopolitical disruptions affecting both markets are the key watch point.</w:t>
      </w:r>
    </w:p>
    <w:p w:rsidR="005337C5" w:rsidRDefault="005337C5" w:rsidP="005337C5">
      <w:r>
        <w:t>Direction: Positive long-run, not significant short-run</w:t>
      </w:r>
    </w:p>
    <w:p w:rsidR="005337C5" w:rsidRDefault="005337C5" w:rsidP="005337C5"/>
    <w:p w:rsidR="005337C5" w:rsidRDefault="005337C5" w:rsidP="005337C5">
      <w:pPr>
        <w:pStyle w:val="Heading2"/>
      </w:pPr>
      <w:r>
        <w:t>4.7  Moody's Baa–10yr Treasury Credit Spread</w:t>
      </w:r>
    </w:p>
    <w:p w:rsidR="005337C5" w:rsidRDefault="005337C5" w:rsidP="005337C5">
      <w:r>
        <w:t>Source: FRED: BAA10Y   |   Latest value: 1.55%</w:t>
      </w:r>
    </w:p>
    <w:p w:rsidR="005337C5" w:rsidRDefault="005337C5" w:rsidP="005337C5">
      <w:r>
        <w:t>What it measures: The spread between Moody's Baa-rated corporate bond yields and the 10-year Treasury yield measures the credit risk premium investors require on investment-grade corporate debt. Widening spreads signal deteriorating credit conditions, recession fears, or financial stress — all conditions that historically drive safe-haven demand.</w:t>
      </w:r>
    </w:p>
    <w:p w:rsidR="005337C5" w:rsidRDefault="005337C5" w:rsidP="005337C5">
      <w:r>
        <w:t>Model implication: Significant in the long run (coef: 0.1333, p&lt;0.001): a 1 percentage point widening in credit spreads is associated with a 13.3% increase in real gold prices over time. This captures financial stress episodes (2008-09 GFC, 2020 COVID) where gold rallied. Short-run effect is smaller and not statistically significant (1.0% of variance).</w:t>
      </w:r>
    </w:p>
    <w:p w:rsidR="005337C5" w:rsidRDefault="005337C5" w:rsidP="005337C5">
      <w:r>
        <w:lastRenderedPageBreak/>
        <w:t>Direction: Positive — wider spreads (more stress) support gold</w:t>
      </w:r>
    </w:p>
    <w:p w:rsidR="005337C5" w:rsidRDefault="005337C5" w:rsidP="005337C5"/>
    <w:p w:rsidR="005337C5" w:rsidRDefault="005337C5" w:rsidP="005337C5">
      <w:pPr>
        <w:pStyle w:val="Heading2"/>
      </w:pPr>
      <w:r>
        <w:t>4.8  M2 Money Supply Growth (Year-on-Year %)</w:t>
      </w:r>
    </w:p>
    <w:p w:rsidR="005337C5" w:rsidRDefault="005337C5" w:rsidP="005337C5">
      <w:r>
        <w:t>Source: FRED: M2SL (12-month % change)   |   Latest value: 3.95%</w:t>
      </w:r>
    </w:p>
    <w:p w:rsidR="005337C5" w:rsidRDefault="005337C5" w:rsidP="005337C5">
      <w:r>
        <w:t>What it measures: M2 money supply includes cash, checking deposits, and near-money assets. Its year-on-year growth rate captures the pace of monetary expansion. Rapid money supply growth — as seen during QE programs and post-COVID stimulus — raises concerns about currency debasement and future inflation, supporting gold as a store of value.</w:t>
      </w:r>
    </w:p>
    <w:p w:rsidR="005337C5" w:rsidRDefault="005337C5" w:rsidP="005337C5">
      <w:r>
        <w:t>Model implication: Significant in the long run (coef: -0.0156, p&lt;0.001) but counterintuitively negative. This reflects that high M2 growth often coincides with low real rates and quantitative easing, where gold is already elevated. The negative sign likely captures the mean-reversion after QE peaks. Not significant in the short run (1.3% of variance).</w:t>
      </w:r>
    </w:p>
    <w:p w:rsidR="005337C5" w:rsidRDefault="005337C5" w:rsidP="005337C5">
      <w:r>
        <w:t>Direction: Negative long-run (mean reversion after QE), not significant short-run</w:t>
      </w:r>
    </w:p>
    <w:p w:rsidR="005337C5" w:rsidRDefault="005337C5" w:rsidP="005337C5"/>
    <w:p w:rsidR="005337C5" w:rsidRDefault="005337C5" w:rsidP="005337C5">
      <w:pPr>
        <w:pStyle w:val="Heading2"/>
      </w:pPr>
      <w:r>
        <w:t>4.9  US Economic Policy Uncertainty Index</w:t>
      </w:r>
    </w:p>
    <w:p w:rsidR="005337C5" w:rsidRDefault="005337C5" w:rsidP="005337C5">
      <w:r>
        <w:t>Source: FRED: USEPUINDXM   |   Latest value: 228.7</w:t>
      </w:r>
    </w:p>
    <w:p w:rsidR="005337C5" w:rsidRDefault="005337C5" w:rsidP="005337C5">
      <w:r>
        <w:t>What it measures: The EPU Index, developed by Baker, Bloom, and Davis, quantifies economic policy uncertainty by measuring: (1) newspaper coverage of policy-related economic uncertainty, (2) expiring tax code provisions, and (3) disagreement among economic forecasters. It captures uncertainty around fiscal policy, monetary policy, trade, and regulation.</w:t>
      </w:r>
    </w:p>
    <w:p w:rsidR="005337C5" w:rsidRDefault="005337C5" w:rsidP="005337C5">
      <w:r>
        <w:t>Model implication: Significant in both long run (coef: 0.0027, p&lt;0.001) and short run (coef: 0.0002, p=0.013, explaining 6.7% of variance). Higher policy uncertainty reliably drives investors toward gold as a safe-haven asset. Key triggers: elections, trade wars, debt ceiling crises, unexpected Fed policy pivots. Currently elevated, providing a floor for gold.</w:t>
      </w:r>
    </w:p>
    <w:p w:rsidR="005337C5" w:rsidRDefault="005337C5" w:rsidP="005337C5">
      <w:r>
        <w:t>Direction: Positive — more uncertainty supports gold</w:t>
      </w:r>
    </w:p>
    <w:p w:rsidR="005337C5" w:rsidRDefault="005337C5" w:rsidP="005337C5"/>
    <w:p w:rsidR="005337C5" w:rsidRDefault="005337C5" w:rsidP="005337C5">
      <w:pPr>
        <w:pStyle w:val="Heading2"/>
      </w:pPr>
      <w:r>
        <w:t>4.10  Error Correction Term (ECT, lagged 1 month)</w:t>
      </w:r>
    </w:p>
    <w:p w:rsidR="005337C5" w:rsidRDefault="005337C5" w:rsidP="005337C5">
      <w:r>
        <w:t>Source: Derived from long-run regression residuals   |   Latest value: 0.1879</w:t>
      </w:r>
    </w:p>
    <w:p w:rsidR="005337C5" w:rsidRDefault="005337C5" w:rsidP="005337C5">
      <w:r>
        <w:t>What it measures: The Error Correction Term measures how far gold's current price deviates from its long-run equilibrium implied by all fundamental factors. It is computed as the residual from the long-run cointegrating regression. A positive ECT means gold is overvalued relative to fundamentals; a negative ECT means it is undervalued.</w:t>
      </w:r>
    </w:p>
    <w:p w:rsidR="005337C5" w:rsidRDefault="005337C5" w:rsidP="005337C5">
      <w:r>
        <w:lastRenderedPageBreak/>
        <w:t>Model implication: The ECT coefficient of -0.0497 (p=0.007) means approximately 5% of any deviation from long-run equilibrium is corrected each month. This confirms cointegration — gold does not drift away from its fundamentals permanently. Currently ECT = 0.1879, contributing -0.93% to the July forecast (mean-reversion pressure).</w:t>
      </w:r>
    </w:p>
    <w:p w:rsidR="005337C5" w:rsidRDefault="005337C5" w:rsidP="005337C5">
      <w:r>
        <w:t>Direction: Negative ECT = undervalued (upward pressure); Positive = overvalued (downward)</w:t>
      </w:r>
    </w:p>
    <w:p w:rsidR="005337C5" w:rsidRDefault="005337C5" w:rsidP="005337C5"/>
    <w:p w:rsidR="005337C5" w:rsidRDefault="005337C5" w:rsidP="005337C5">
      <w:pPr>
        <w:pStyle w:val="Heading1"/>
      </w:pPr>
      <w:r>
        <w:t>5. Long-Run Cointegrating Regression</w:t>
      </w:r>
    </w:p>
    <w:p w:rsidR="005337C5" w:rsidRDefault="005337C5" w:rsidP="005337C5">
      <w:r>
        <w:t>Dependent variable: ln(Real Gold Price)   |   R² = 0.838   Adj R² = 0.832   N = 258 months</w:t>
      </w:r>
    </w:p>
    <w:p w:rsidR="005337C5" w:rsidRDefault="005337C5" w:rsidP="005337C5">
      <w:r>
        <w:t>Interpretation: Each coefficient shows the long-run percentage change in real gold associated with a one-unit increase in the factor (for log variables: a 1% factor change leads to coef% gold change; for level variables: a 1-unit change leads to coef x 100% gold change).</w:t>
      </w:r>
    </w:p>
    <w:p w:rsidR="005337C5" w:rsidRDefault="005337C5" w:rsidP="005337C5"/>
    <w:tbl>
      <w:tblPr>
        <w:tblStyle w:val="TableGrid"/>
        <w:tblW w:w="0" w:type="auto"/>
        <w:tblLayout w:type="fixed"/>
        <w:tblLook w:val="04A0" w:firstRow="1" w:lastRow="0" w:firstColumn="1" w:lastColumn="0" w:noHBand="0" w:noVBand="1"/>
      </w:tblPr>
      <w:tblGrid>
        <w:gridCol w:w="2394"/>
        <w:gridCol w:w="2394"/>
        <w:gridCol w:w="2394"/>
        <w:gridCol w:w="2394"/>
      </w:tblGrid>
      <w:tr w:rsidR="005337C5" w:rsidTr="005337C5">
        <w:tc>
          <w:tcPr>
            <w:tcW w:w="2394" w:type="dxa"/>
            <w:shd w:val="clear" w:color="auto" w:fill="auto"/>
          </w:tcPr>
          <w:p w:rsidR="005337C5" w:rsidRPr="005337C5" w:rsidRDefault="005337C5" w:rsidP="005337C5">
            <w:pPr>
              <w:rPr>
                <w:b/>
              </w:rPr>
            </w:pPr>
            <w:r>
              <w:rPr>
                <w:b/>
              </w:rPr>
              <w:t>Variable</w:t>
            </w:r>
          </w:p>
        </w:tc>
        <w:tc>
          <w:tcPr>
            <w:tcW w:w="2394" w:type="dxa"/>
            <w:shd w:val="clear" w:color="auto" w:fill="auto"/>
          </w:tcPr>
          <w:p w:rsidR="005337C5" w:rsidRPr="005337C5" w:rsidRDefault="005337C5" w:rsidP="005337C5">
            <w:pPr>
              <w:rPr>
                <w:b/>
              </w:rPr>
            </w:pPr>
            <w:r>
              <w:rPr>
                <w:b/>
              </w:rPr>
              <w:t>Coefficient</w:t>
            </w:r>
          </w:p>
        </w:tc>
        <w:tc>
          <w:tcPr>
            <w:tcW w:w="2394" w:type="dxa"/>
            <w:shd w:val="clear" w:color="auto" w:fill="auto"/>
          </w:tcPr>
          <w:p w:rsidR="005337C5" w:rsidRPr="005337C5" w:rsidRDefault="005337C5" w:rsidP="005337C5">
            <w:pPr>
              <w:rPr>
                <w:b/>
              </w:rPr>
            </w:pPr>
            <w:r>
              <w:rPr>
                <w:b/>
              </w:rPr>
              <w:t>p-value</w:t>
            </w:r>
          </w:p>
        </w:tc>
        <w:tc>
          <w:tcPr>
            <w:tcW w:w="2394" w:type="dxa"/>
            <w:shd w:val="clear" w:color="auto" w:fill="auto"/>
          </w:tcPr>
          <w:p w:rsidR="005337C5" w:rsidRPr="005337C5" w:rsidRDefault="005337C5" w:rsidP="005337C5">
            <w:pPr>
              <w:rPr>
                <w:b/>
              </w:rPr>
            </w:pPr>
            <w:r>
              <w:rPr>
                <w:b/>
              </w:rPr>
              <w:t>Significance</w:t>
            </w:r>
          </w:p>
        </w:tc>
      </w:tr>
      <w:tr w:rsidR="005337C5" w:rsidTr="005337C5">
        <w:tc>
          <w:tcPr>
            <w:tcW w:w="2394" w:type="dxa"/>
            <w:shd w:val="clear" w:color="auto" w:fill="auto"/>
          </w:tcPr>
          <w:p w:rsidR="005337C5" w:rsidRDefault="005337C5" w:rsidP="005337C5">
            <w:r>
              <w:t>const</w:t>
            </w:r>
          </w:p>
        </w:tc>
        <w:tc>
          <w:tcPr>
            <w:tcW w:w="2394" w:type="dxa"/>
            <w:shd w:val="clear" w:color="auto" w:fill="auto"/>
          </w:tcPr>
          <w:p w:rsidR="005337C5" w:rsidRDefault="005337C5" w:rsidP="005337C5">
            <w:r>
              <w:t>6.6614</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TIPS_10yr</w:t>
            </w:r>
          </w:p>
        </w:tc>
        <w:tc>
          <w:tcPr>
            <w:tcW w:w="2394" w:type="dxa"/>
            <w:shd w:val="clear" w:color="auto" w:fill="auto"/>
          </w:tcPr>
          <w:p w:rsidR="005337C5" w:rsidRDefault="005337C5" w:rsidP="005337C5">
            <w:r>
              <w:t>-0.0770</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Breakeven</w:t>
            </w:r>
          </w:p>
        </w:tc>
        <w:tc>
          <w:tcPr>
            <w:tcW w:w="2394" w:type="dxa"/>
            <w:shd w:val="clear" w:color="auto" w:fill="auto"/>
          </w:tcPr>
          <w:p w:rsidR="005337C5" w:rsidRDefault="005337C5" w:rsidP="005337C5">
            <w:r>
              <w:t>-0.1012</w:t>
            </w:r>
          </w:p>
        </w:tc>
        <w:tc>
          <w:tcPr>
            <w:tcW w:w="2394" w:type="dxa"/>
            <w:shd w:val="clear" w:color="auto" w:fill="auto"/>
          </w:tcPr>
          <w:p w:rsidR="005337C5" w:rsidRDefault="005337C5" w:rsidP="005337C5">
            <w:r>
              <w:t>0.0416</w:t>
            </w:r>
          </w:p>
        </w:tc>
        <w:tc>
          <w:tcPr>
            <w:tcW w:w="2394" w:type="dxa"/>
            <w:shd w:val="clear" w:color="auto" w:fill="auto"/>
          </w:tcPr>
          <w:p w:rsidR="005337C5" w:rsidRDefault="005337C5" w:rsidP="005337C5">
            <w:r>
              <w:t>** p&lt;0.05</w:t>
            </w:r>
          </w:p>
        </w:tc>
      </w:tr>
      <w:tr w:rsidR="005337C5" w:rsidTr="005337C5">
        <w:tc>
          <w:tcPr>
            <w:tcW w:w="2394" w:type="dxa"/>
            <w:shd w:val="clear" w:color="auto" w:fill="auto"/>
          </w:tcPr>
          <w:p w:rsidR="005337C5" w:rsidRDefault="005337C5" w:rsidP="005337C5">
            <w:r>
              <w:t>ln_DXY</w:t>
            </w:r>
          </w:p>
        </w:tc>
        <w:tc>
          <w:tcPr>
            <w:tcW w:w="2394" w:type="dxa"/>
            <w:shd w:val="clear" w:color="auto" w:fill="auto"/>
          </w:tcPr>
          <w:p w:rsidR="005337C5" w:rsidRDefault="005337C5" w:rsidP="005337C5">
            <w:r>
              <w:t>-1.3586</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VIX</w:t>
            </w:r>
          </w:p>
        </w:tc>
        <w:tc>
          <w:tcPr>
            <w:tcW w:w="2394" w:type="dxa"/>
            <w:shd w:val="clear" w:color="auto" w:fill="auto"/>
          </w:tcPr>
          <w:p w:rsidR="005337C5" w:rsidRDefault="005337C5" w:rsidP="005337C5">
            <w:r>
              <w:t>-0.0056</w:t>
            </w:r>
          </w:p>
        </w:tc>
        <w:tc>
          <w:tcPr>
            <w:tcW w:w="2394" w:type="dxa"/>
            <w:shd w:val="clear" w:color="auto" w:fill="auto"/>
          </w:tcPr>
          <w:p w:rsidR="005337C5" w:rsidRDefault="005337C5" w:rsidP="005337C5">
            <w:r>
              <w:t>0.0050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ln_SP500</w:t>
            </w:r>
          </w:p>
        </w:tc>
        <w:tc>
          <w:tcPr>
            <w:tcW w:w="2394" w:type="dxa"/>
            <w:shd w:val="clear" w:color="auto" w:fill="auto"/>
          </w:tcPr>
          <w:p w:rsidR="005337C5" w:rsidRDefault="005337C5" w:rsidP="005337C5">
            <w:r>
              <w:t>0.6057</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ln_Oil</w:t>
            </w:r>
          </w:p>
        </w:tc>
        <w:tc>
          <w:tcPr>
            <w:tcW w:w="2394" w:type="dxa"/>
            <w:shd w:val="clear" w:color="auto" w:fill="auto"/>
          </w:tcPr>
          <w:p w:rsidR="005337C5" w:rsidRDefault="005337C5" w:rsidP="005337C5">
            <w:r>
              <w:t>0.2076</w:t>
            </w:r>
          </w:p>
        </w:tc>
        <w:tc>
          <w:tcPr>
            <w:tcW w:w="2394" w:type="dxa"/>
            <w:shd w:val="clear" w:color="auto" w:fill="auto"/>
          </w:tcPr>
          <w:p w:rsidR="005337C5" w:rsidRDefault="005337C5" w:rsidP="005337C5">
            <w:r>
              <w:t>0.0007</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Credit_Spread</w:t>
            </w:r>
          </w:p>
        </w:tc>
        <w:tc>
          <w:tcPr>
            <w:tcW w:w="2394" w:type="dxa"/>
            <w:shd w:val="clear" w:color="auto" w:fill="auto"/>
          </w:tcPr>
          <w:p w:rsidR="005337C5" w:rsidRDefault="005337C5" w:rsidP="005337C5">
            <w:r>
              <w:t>0.1333</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M2_Growth</w:t>
            </w:r>
          </w:p>
        </w:tc>
        <w:tc>
          <w:tcPr>
            <w:tcW w:w="2394" w:type="dxa"/>
            <w:shd w:val="clear" w:color="auto" w:fill="auto"/>
          </w:tcPr>
          <w:p w:rsidR="005337C5" w:rsidRDefault="005337C5" w:rsidP="005337C5">
            <w:r>
              <w:t>-0.0156</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EPU</w:t>
            </w:r>
          </w:p>
        </w:tc>
        <w:tc>
          <w:tcPr>
            <w:tcW w:w="2394" w:type="dxa"/>
            <w:shd w:val="clear" w:color="auto" w:fill="auto"/>
          </w:tcPr>
          <w:p w:rsidR="005337C5" w:rsidRDefault="005337C5" w:rsidP="005337C5">
            <w:r>
              <w:t>0.0027</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bl>
    <w:p w:rsidR="005337C5" w:rsidRDefault="005337C5" w:rsidP="005337C5"/>
    <w:p w:rsidR="005337C5" w:rsidRDefault="005337C5" w:rsidP="005337C5"/>
    <w:p w:rsidR="005337C5" w:rsidRDefault="005337C5" w:rsidP="005337C5">
      <w:pPr>
        <w:pStyle w:val="Heading1"/>
      </w:pPr>
      <w:r>
        <w:t>6. Short-Run ECM Regression</w:t>
      </w:r>
    </w:p>
    <w:p w:rsidR="005337C5" w:rsidRDefault="005337C5" w:rsidP="005337C5">
      <w:r>
        <w:t>Dependent variable: Monthly change in ln(Real Gold)   |   R² = 0.361   Adj R² = 0.335   N = 257 months</w:t>
      </w:r>
    </w:p>
    <w:p w:rsidR="005337C5" w:rsidRDefault="005337C5" w:rsidP="005337C5">
      <w:r>
        <w:t>Interpretation: Each coefficient shows the immediate (same-month) percentage change in gold for a one-unit change in the factor's monthly change.</w:t>
      </w:r>
    </w:p>
    <w:p w:rsidR="005337C5" w:rsidRDefault="005337C5" w:rsidP="005337C5"/>
    <w:tbl>
      <w:tblPr>
        <w:tblStyle w:val="TableGrid"/>
        <w:tblW w:w="0" w:type="auto"/>
        <w:tblLayout w:type="fixed"/>
        <w:tblLook w:val="04A0" w:firstRow="1" w:lastRow="0" w:firstColumn="1" w:lastColumn="0" w:noHBand="0" w:noVBand="1"/>
      </w:tblPr>
      <w:tblGrid>
        <w:gridCol w:w="2394"/>
        <w:gridCol w:w="2394"/>
        <w:gridCol w:w="2394"/>
        <w:gridCol w:w="2394"/>
      </w:tblGrid>
      <w:tr w:rsidR="005337C5" w:rsidTr="005337C5">
        <w:tc>
          <w:tcPr>
            <w:tcW w:w="2394" w:type="dxa"/>
            <w:shd w:val="clear" w:color="auto" w:fill="auto"/>
          </w:tcPr>
          <w:p w:rsidR="005337C5" w:rsidRPr="005337C5" w:rsidRDefault="005337C5" w:rsidP="005337C5">
            <w:pPr>
              <w:rPr>
                <w:b/>
              </w:rPr>
            </w:pPr>
            <w:r>
              <w:rPr>
                <w:b/>
              </w:rPr>
              <w:t>Variable</w:t>
            </w:r>
          </w:p>
        </w:tc>
        <w:tc>
          <w:tcPr>
            <w:tcW w:w="2394" w:type="dxa"/>
            <w:shd w:val="clear" w:color="auto" w:fill="auto"/>
          </w:tcPr>
          <w:p w:rsidR="005337C5" w:rsidRPr="005337C5" w:rsidRDefault="005337C5" w:rsidP="005337C5">
            <w:pPr>
              <w:rPr>
                <w:b/>
              </w:rPr>
            </w:pPr>
            <w:r>
              <w:rPr>
                <w:b/>
              </w:rPr>
              <w:t>Coefficient</w:t>
            </w:r>
          </w:p>
        </w:tc>
        <w:tc>
          <w:tcPr>
            <w:tcW w:w="2394" w:type="dxa"/>
            <w:shd w:val="clear" w:color="auto" w:fill="auto"/>
          </w:tcPr>
          <w:p w:rsidR="005337C5" w:rsidRPr="005337C5" w:rsidRDefault="005337C5" w:rsidP="005337C5">
            <w:pPr>
              <w:rPr>
                <w:b/>
              </w:rPr>
            </w:pPr>
            <w:r>
              <w:rPr>
                <w:b/>
              </w:rPr>
              <w:t>p-value</w:t>
            </w:r>
          </w:p>
        </w:tc>
        <w:tc>
          <w:tcPr>
            <w:tcW w:w="2394" w:type="dxa"/>
            <w:shd w:val="clear" w:color="auto" w:fill="auto"/>
          </w:tcPr>
          <w:p w:rsidR="005337C5" w:rsidRPr="005337C5" w:rsidRDefault="005337C5" w:rsidP="005337C5">
            <w:pPr>
              <w:rPr>
                <w:b/>
              </w:rPr>
            </w:pPr>
            <w:r>
              <w:rPr>
                <w:b/>
              </w:rPr>
              <w:t>Significance</w:t>
            </w:r>
          </w:p>
        </w:tc>
      </w:tr>
      <w:tr w:rsidR="005337C5" w:rsidTr="005337C5">
        <w:tc>
          <w:tcPr>
            <w:tcW w:w="2394" w:type="dxa"/>
            <w:shd w:val="clear" w:color="auto" w:fill="auto"/>
          </w:tcPr>
          <w:p w:rsidR="005337C5" w:rsidRDefault="005337C5" w:rsidP="005337C5">
            <w:r>
              <w:t>const</w:t>
            </w:r>
          </w:p>
        </w:tc>
        <w:tc>
          <w:tcPr>
            <w:tcW w:w="2394" w:type="dxa"/>
            <w:shd w:val="clear" w:color="auto" w:fill="auto"/>
          </w:tcPr>
          <w:p w:rsidR="005337C5" w:rsidRDefault="005337C5" w:rsidP="005337C5">
            <w:r>
              <w:t>0.0086</w:t>
            </w:r>
          </w:p>
        </w:tc>
        <w:tc>
          <w:tcPr>
            <w:tcW w:w="2394" w:type="dxa"/>
            <w:shd w:val="clear" w:color="auto" w:fill="auto"/>
          </w:tcPr>
          <w:p w:rsidR="005337C5" w:rsidRDefault="005337C5" w:rsidP="005337C5">
            <w:r>
              <w:t>0.0012</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D_TIPS_10yr</w:t>
            </w:r>
          </w:p>
        </w:tc>
        <w:tc>
          <w:tcPr>
            <w:tcW w:w="2394" w:type="dxa"/>
            <w:shd w:val="clear" w:color="auto" w:fill="auto"/>
          </w:tcPr>
          <w:p w:rsidR="005337C5" w:rsidRDefault="005337C5" w:rsidP="005337C5">
            <w:r>
              <w:t>-0.0836</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lastRenderedPageBreak/>
              <w:t>D_Breakeven</w:t>
            </w:r>
          </w:p>
        </w:tc>
        <w:tc>
          <w:tcPr>
            <w:tcW w:w="2394" w:type="dxa"/>
            <w:shd w:val="clear" w:color="auto" w:fill="auto"/>
          </w:tcPr>
          <w:p w:rsidR="005337C5" w:rsidRDefault="005337C5" w:rsidP="005337C5">
            <w:r>
              <w:t>0.0112</w:t>
            </w:r>
          </w:p>
        </w:tc>
        <w:tc>
          <w:tcPr>
            <w:tcW w:w="2394" w:type="dxa"/>
            <w:shd w:val="clear" w:color="auto" w:fill="auto"/>
          </w:tcPr>
          <w:p w:rsidR="005337C5" w:rsidRDefault="005337C5" w:rsidP="005337C5">
            <w:r>
              <w:t>0.5768</w:t>
            </w:r>
          </w:p>
        </w:tc>
        <w:tc>
          <w:tcPr>
            <w:tcW w:w="2394" w:type="dxa"/>
            <w:shd w:val="clear" w:color="auto" w:fill="auto"/>
          </w:tcPr>
          <w:p w:rsidR="005337C5" w:rsidRDefault="005337C5" w:rsidP="005337C5"/>
        </w:tc>
      </w:tr>
      <w:tr w:rsidR="005337C5" w:rsidTr="005337C5">
        <w:tc>
          <w:tcPr>
            <w:tcW w:w="2394" w:type="dxa"/>
            <w:shd w:val="clear" w:color="auto" w:fill="auto"/>
          </w:tcPr>
          <w:p w:rsidR="005337C5" w:rsidRDefault="005337C5" w:rsidP="005337C5">
            <w:r>
              <w:t>D_ln_DXY</w:t>
            </w:r>
          </w:p>
        </w:tc>
        <w:tc>
          <w:tcPr>
            <w:tcW w:w="2394" w:type="dxa"/>
            <w:shd w:val="clear" w:color="auto" w:fill="auto"/>
          </w:tcPr>
          <w:p w:rsidR="005337C5" w:rsidRDefault="005337C5" w:rsidP="005337C5">
            <w:r>
              <w:t>-0.8151</w:t>
            </w:r>
          </w:p>
        </w:tc>
        <w:tc>
          <w:tcPr>
            <w:tcW w:w="2394" w:type="dxa"/>
            <w:shd w:val="clear" w:color="auto" w:fill="auto"/>
          </w:tcPr>
          <w:p w:rsidR="005337C5" w:rsidRDefault="005337C5" w:rsidP="005337C5">
            <w:r>
              <w:t>0.0000</w:t>
            </w:r>
          </w:p>
        </w:tc>
        <w:tc>
          <w:tcPr>
            <w:tcW w:w="2394" w:type="dxa"/>
            <w:shd w:val="clear" w:color="auto" w:fill="auto"/>
          </w:tcPr>
          <w:p w:rsidR="005337C5" w:rsidRDefault="005337C5" w:rsidP="005337C5">
            <w:r>
              <w:t>*** p&lt;0.01</w:t>
            </w:r>
          </w:p>
        </w:tc>
      </w:tr>
      <w:tr w:rsidR="005337C5" w:rsidTr="005337C5">
        <w:tc>
          <w:tcPr>
            <w:tcW w:w="2394" w:type="dxa"/>
            <w:shd w:val="clear" w:color="auto" w:fill="auto"/>
          </w:tcPr>
          <w:p w:rsidR="005337C5" w:rsidRDefault="005337C5" w:rsidP="005337C5">
            <w:r>
              <w:t>D_VIX</w:t>
            </w:r>
          </w:p>
        </w:tc>
        <w:tc>
          <w:tcPr>
            <w:tcW w:w="2394" w:type="dxa"/>
            <w:shd w:val="clear" w:color="auto" w:fill="auto"/>
          </w:tcPr>
          <w:p w:rsidR="005337C5" w:rsidRDefault="005337C5" w:rsidP="005337C5">
            <w:r>
              <w:t>-0.0001</w:t>
            </w:r>
          </w:p>
        </w:tc>
        <w:tc>
          <w:tcPr>
            <w:tcW w:w="2394" w:type="dxa"/>
            <w:shd w:val="clear" w:color="auto" w:fill="auto"/>
          </w:tcPr>
          <w:p w:rsidR="005337C5" w:rsidRDefault="005337C5" w:rsidP="005337C5">
            <w:r>
              <w:t>0.9219</w:t>
            </w:r>
          </w:p>
        </w:tc>
        <w:tc>
          <w:tcPr>
            <w:tcW w:w="2394" w:type="dxa"/>
            <w:shd w:val="clear" w:color="auto" w:fill="auto"/>
          </w:tcPr>
          <w:p w:rsidR="005337C5" w:rsidRDefault="005337C5" w:rsidP="005337C5"/>
        </w:tc>
      </w:tr>
      <w:tr w:rsidR="005337C5" w:rsidTr="005337C5">
        <w:tc>
          <w:tcPr>
            <w:tcW w:w="2394" w:type="dxa"/>
            <w:shd w:val="clear" w:color="auto" w:fill="auto"/>
          </w:tcPr>
          <w:p w:rsidR="005337C5" w:rsidRDefault="005337C5" w:rsidP="005337C5">
            <w:r>
              <w:t>D_ln_SP500</w:t>
            </w:r>
          </w:p>
        </w:tc>
        <w:tc>
          <w:tcPr>
            <w:tcW w:w="2394" w:type="dxa"/>
            <w:shd w:val="clear" w:color="auto" w:fill="auto"/>
          </w:tcPr>
          <w:p w:rsidR="005337C5" w:rsidRDefault="005337C5" w:rsidP="005337C5">
            <w:r>
              <w:t>-0.1900</w:t>
            </w:r>
          </w:p>
        </w:tc>
        <w:tc>
          <w:tcPr>
            <w:tcW w:w="2394" w:type="dxa"/>
            <w:shd w:val="clear" w:color="auto" w:fill="auto"/>
          </w:tcPr>
          <w:p w:rsidR="005337C5" w:rsidRDefault="005337C5" w:rsidP="005337C5">
            <w:r>
              <w:t>0.0662</w:t>
            </w:r>
          </w:p>
        </w:tc>
        <w:tc>
          <w:tcPr>
            <w:tcW w:w="2394" w:type="dxa"/>
            <w:shd w:val="clear" w:color="auto" w:fill="auto"/>
          </w:tcPr>
          <w:p w:rsidR="005337C5" w:rsidRDefault="005337C5" w:rsidP="005337C5">
            <w:r>
              <w:t>* p&lt;0.1</w:t>
            </w:r>
          </w:p>
        </w:tc>
      </w:tr>
      <w:tr w:rsidR="005337C5" w:rsidTr="005337C5">
        <w:tc>
          <w:tcPr>
            <w:tcW w:w="2394" w:type="dxa"/>
            <w:shd w:val="clear" w:color="auto" w:fill="auto"/>
          </w:tcPr>
          <w:p w:rsidR="005337C5" w:rsidRDefault="005337C5" w:rsidP="005337C5">
            <w:r>
              <w:t>D_ln_Oil</w:t>
            </w:r>
          </w:p>
        </w:tc>
        <w:tc>
          <w:tcPr>
            <w:tcW w:w="2394" w:type="dxa"/>
            <w:shd w:val="clear" w:color="auto" w:fill="auto"/>
          </w:tcPr>
          <w:p w:rsidR="005337C5" w:rsidRDefault="005337C5" w:rsidP="005337C5">
            <w:r>
              <w:t>-0.0013</w:t>
            </w:r>
          </w:p>
        </w:tc>
        <w:tc>
          <w:tcPr>
            <w:tcW w:w="2394" w:type="dxa"/>
            <w:shd w:val="clear" w:color="auto" w:fill="auto"/>
          </w:tcPr>
          <w:p w:rsidR="005337C5" w:rsidRDefault="005337C5" w:rsidP="005337C5">
            <w:r>
              <w:t>0.9624</w:t>
            </w:r>
          </w:p>
        </w:tc>
        <w:tc>
          <w:tcPr>
            <w:tcW w:w="2394" w:type="dxa"/>
            <w:shd w:val="clear" w:color="auto" w:fill="auto"/>
          </w:tcPr>
          <w:p w:rsidR="005337C5" w:rsidRDefault="005337C5" w:rsidP="005337C5"/>
        </w:tc>
      </w:tr>
      <w:tr w:rsidR="005337C5" w:rsidTr="005337C5">
        <w:tc>
          <w:tcPr>
            <w:tcW w:w="2394" w:type="dxa"/>
            <w:shd w:val="clear" w:color="auto" w:fill="auto"/>
          </w:tcPr>
          <w:p w:rsidR="005337C5" w:rsidRDefault="005337C5" w:rsidP="005337C5">
            <w:r>
              <w:t>D_Credit_Spread</w:t>
            </w:r>
          </w:p>
        </w:tc>
        <w:tc>
          <w:tcPr>
            <w:tcW w:w="2394" w:type="dxa"/>
            <w:shd w:val="clear" w:color="auto" w:fill="auto"/>
          </w:tcPr>
          <w:p w:rsidR="005337C5" w:rsidRDefault="005337C5" w:rsidP="005337C5">
            <w:r>
              <w:t>-0.0156</w:t>
            </w:r>
          </w:p>
        </w:tc>
        <w:tc>
          <w:tcPr>
            <w:tcW w:w="2394" w:type="dxa"/>
            <w:shd w:val="clear" w:color="auto" w:fill="auto"/>
          </w:tcPr>
          <w:p w:rsidR="005337C5" w:rsidRDefault="005337C5" w:rsidP="005337C5">
            <w:r>
              <w:t>0.3271</w:t>
            </w:r>
          </w:p>
        </w:tc>
        <w:tc>
          <w:tcPr>
            <w:tcW w:w="2394" w:type="dxa"/>
            <w:shd w:val="clear" w:color="auto" w:fill="auto"/>
          </w:tcPr>
          <w:p w:rsidR="005337C5" w:rsidRDefault="005337C5" w:rsidP="005337C5"/>
        </w:tc>
      </w:tr>
      <w:tr w:rsidR="005337C5" w:rsidTr="005337C5">
        <w:tc>
          <w:tcPr>
            <w:tcW w:w="2394" w:type="dxa"/>
            <w:shd w:val="clear" w:color="auto" w:fill="auto"/>
          </w:tcPr>
          <w:p w:rsidR="005337C5" w:rsidRDefault="005337C5" w:rsidP="005337C5">
            <w:r>
              <w:t>D_M2_Growth</w:t>
            </w:r>
          </w:p>
        </w:tc>
        <w:tc>
          <w:tcPr>
            <w:tcW w:w="2394" w:type="dxa"/>
            <w:shd w:val="clear" w:color="auto" w:fill="auto"/>
          </w:tcPr>
          <w:p w:rsidR="005337C5" w:rsidRDefault="005337C5" w:rsidP="005337C5">
            <w:r>
              <w:t>0.0030</w:t>
            </w:r>
          </w:p>
        </w:tc>
        <w:tc>
          <w:tcPr>
            <w:tcW w:w="2394" w:type="dxa"/>
            <w:shd w:val="clear" w:color="auto" w:fill="auto"/>
          </w:tcPr>
          <w:p w:rsidR="005337C5" w:rsidRDefault="005337C5" w:rsidP="005337C5">
            <w:r>
              <w:t>0.2737</w:t>
            </w:r>
          </w:p>
        </w:tc>
        <w:tc>
          <w:tcPr>
            <w:tcW w:w="2394" w:type="dxa"/>
            <w:shd w:val="clear" w:color="auto" w:fill="auto"/>
          </w:tcPr>
          <w:p w:rsidR="005337C5" w:rsidRDefault="005337C5" w:rsidP="005337C5"/>
        </w:tc>
      </w:tr>
      <w:tr w:rsidR="005337C5" w:rsidTr="005337C5">
        <w:tc>
          <w:tcPr>
            <w:tcW w:w="2394" w:type="dxa"/>
            <w:shd w:val="clear" w:color="auto" w:fill="auto"/>
          </w:tcPr>
          <w:p w:rsidR="005337C5" w:rsidRDefault="005337C5" w:rsidP="005337C5">
            <w:r>
              <w:t>D_EPU</w:t>
            </w:r>
          </w:p>
        </w:tc>
        <w:tc>
          <w:tcPr>
            <w:tcW w:w="2394" w:type="dxa"/>
            <w:shd w:val="clear" w:color="auto" w:fill="auto"/>
          </w:tcPr>
          <w:p w:rsidR="005337C5" w:rsidRDefault="005337C5" w:rsidP="005337C5">
            <w:r>
              <w:t>0.0002</w:t>
            </w:r>
          </w:p>
        </w:tc>
        <w:tc>
          <w:tcPr>
            <w:tcW w:w="2394" w:type="dxa"/>
            <w:shd w:val="clear" w:color="auto" w:fill="auto"/>
          </w:tcPr>
          <w:p w:rsidR="005337C5" w:rsidRDefault="005337C5" w:rsidP="005337C5">
            <w:r>
              <w:t>0.0127</w:t>
            </w:r>
          </w:p>
        </w:tc>
        <w:tc>
          <w:tcPr>
            <w:tcW w:w="2394" w:type="dxa"/>
            <w:shd w:val="clear" w:color="auto" w:fill="auto"/>
          </w:tcPr>
          <w:p w:rsidR="005337C5" w:rsidRDefault="005337C5" w:rsidP="005337C5">
            <w:r>
              <w:t>** p&lt;0.05</w:t>
            </w:r>
          </w:p>
        </w:tc>
      </w:tr>
      <w:tr w:rsidR="005337C5" w:rsidTr="005337C5">
        <w:tc>
          <w:tcPr>
            <w:tcW w:w="2394" w:type="dxa"/>
            <w:shd w:val="clear" w:color="auto" w:fill="auto"/>
          </w:tcPr>
          <w:p w:rsidR="005337C5" w:rsidRDefault="005337C5" w:rsidP="005337C5">
            <w:r>
              <w:t>ECT_lag1</w:t>
            </w:r>
          </w:p>
        </w:tc>
        <w:tc>
          <w:tcPr>
            <w:tcW w:w="2394" w:type="dxa"/>
            <w:shd w:val="clear" w:color="auto" w:fill="auto"/>
          </w:tcPr>
          <w:p w:rsidR="005337C5" w:rsidRDefault="005337C5" w:rsidP="005337C5">
            <w:r>
              <w:t>-0.0497</w:t>
            </w:r>
          </w:p>
        </w:tc>
        <w:tc>
          <w:tcPr>
            <w:tcW w:w="2394" w:type="dxa"/>
            <w:shd w:val="clear" w:color="auto" w:fill="auto"/>
          </w:tcPr>
          <w:p w:rsidR="005337C5" w:rsidRDefault="005337C5" w:rsidP="005337C5">
            <w:r>
              <w:t>0.0074</w:t>
            </w:r>
          </w:p>
        </w:tc>
        <w:tc>
          <w:tcPr>
            <w:tcW w:w="2394" w:type="dxa"/>
            <w:shd w:val="clear" w:color="auto" w:fill="auto"/>
          </w:tcPr>
          <w:p w:rsidR="005337C5" w:rsidRDefault="005337C5" w:rsidP="005337C5">
            <w:r>
              <w:t>*** p&lt;0.01</w:t>
            </w:r>
          </w:p>
        </w:tc>
      </w:tr>
    </w:tbl>
    <w:p w:rsidR="005337C5" w:rsidRDefault="005337C5" w:rsidP="005337C5"/>
    <w:p w:rsidR="005337C5" w:rsidRDefault="005337C5" w:rsidP="005337C5"/>
    <w:p w:rsidR="005337C5" w:rsidRDefault="005337C5" w:rsidP="005337C5">
      <w:pPr>
        <w:pStyle w:val="Heading1"/>
      </w:pPr>
      <w:r>
        <w:t>7. Variance Explained per Factor (Partial R²)</w:t>
      </w:r>
    </w:p>
    <w:p w:rsidR="005337C5" w:rsidRDefault="005337C5" w:rsidP="005337C5">
      <w:r>
        <w:t>Partial R² measures how much of the total explained variance each factor uniquely contributes. It is computed as the drop in R² when that factor is removed from the full model — isolating each factor's independent contribution.</w:t>
      </w:r>
    </w:p>
    <w:p w:rsidR="005337C5" w:rsidRDefault="005337C5" w:rsidP="005337C5"/>
    <w:tbl>
      <w:tblPr>
        <w:tblStyle w:val="TableGrid"/>
        <w:tblW w:w="0" w:type="auto"/>
        <w:tblLayout w:type="fixed"/>
        <w:tblLook w:val="04A0" w:firstRow="1" w:lastRow="0" w:firstColumn="1" w:lastColumn="0" w:noHBand="0" w:noVBand="1"/>
      </w:tblPr>
      <w:tblGrid>
        <w:gridCol w:w="3192"/>
        <w:gridCol w:w="3192"/>
        <w:gridCol w:w="3192"/>
      </w:tblGrid>
      <w:tr w:rsidR="005337C5" w:rsidTr="005337C5">
        <w:tc>
          <w:tcPr>
            <w:tcW w:w="3192" w:type="dxa"/>
            <w:shd w:val="clear" w:color="auto" w:fill="auto"/>
          </w:tcPr>
          <w:p w:rsidR="005337C5" w:rsidRPr="005337C5" w:rsidRDefault="005337C5" w:rsidP="005337C5">
            <w:pPr>
              <w:rPr>
                <w:b/>
              </w:rPr>
            </w:pPr>
            <w:r>
              <w:rPr>
                <w:b/>
              </w:rPr>
              <w:t>Factor</w:t>
            </w:r>
          </w:p>
        </w:tc>
        <w:tc>
          <w:tcPr>
            <w:tcW w:w="3192" w:type="dxa"/>
            <w:shd w:val="clear" w:color="auto" w:fill="auto"/>
          </w:tcPr>
          <w:p w:rsidR="005337C5" w:rsidRPr="005337C5" w:rsidRDefault="005337C5" w:rsidP="005337C5">
            <w:pPr>
              <w:rPr>
                <w:b/>
              </w:rPr>
            </w:pPr>
            <w:r>
              <w:rPr>
                <w:b/>
              </w:rPr>
              <w:t>Partial R²</w:t>
            </w:r>
          </w:p>
        </w:tc>
        <w:tc>
          <w:tcPr>
            <w:tcW w:w="3192" w:type="dxa"/>
            <w:shd w:val="clear" w:color="auto" w:fill="auto"/>
          </w:tcPr>
          <w:p w:rsidR="005337C5" w:rsidRPr="005337C5" w:rsidRDefault="005337C5" w:rsidP="005337C5">
            <w:pPr>
              <w:rPr>
                <w:b/>
              </w:rPr>
            </w:pPr>
            <w:r>
              <w:rPr>
                <w:b/>
              </w:rPr>
              <w:t>Share of Explained Variance</w:t>
            </w:r>
          </w:p>
        </w:tc>
      </w:tr>
      <w:tr w:rsidR="005337C5" w:rsidTr="005337C5">
        <w:tc>
          <w:tcPr>
            <w:tcW w:w="3192" w:type="dxa"/>
            <w:shd w:val="clear" w:color="auto" w:fill="auto"/>
          </w:tcPr>
          <w:p w:rsidR="005337C5" w:rsidRDefault="005337C5" w:rsidP="005337C5">
            <w:r>
              <w:t>D_TIPS_10yr</w:t>
            </w:r>
          </w:p>
        </w:tc>
        <w:tc>
          <w:tcPr>
            <w:tcW w:w="3192" w:type="dxa"/>
            <w:shd w:val="clear" w:color="auto" w:fill="auto"/>
          </w:tcPr>
          <w:p w:rsidR="005337C5" w:rsidRDefault="005337C5" w:rsidP="005337C5">
            <w:r>
              <w:t>0.1027</w:t>
            </w:r>
          </w:p>
        </w:tc>
        <w:tc>
          <w:tcPr>
            <w:tcW w:w="3192" w:type="dxa"/>
            <w:shd w:val="clear" w:color="auto" w:fill="auto"/>
          </w:tcPr>
          <w:p w:rsidR="005337C5" w:rsidRDefault="005337C5" w:rsidP="005337C5">
            <w:r>
              <w:t>42.3%</w:t>
            </w:r>
          </w:p>
        </w:tc>
      </w:tr>
      <w:tr w:rsidR="005337C5" w:rsidTr="005337C5">
        <w:tc>
          <w:tcPr>
            <w:tcW w:w="3192" w:type="dxa"/>
            <w:shd w:val="clear" w:color="auto" w:fill="auto"/>
          </w:tcPr>
          <w:p w:rsidR="005337C5" w:rsidRDefault="005337C5" w:rsidP="005337C5">
            <w:r>
              <w:t>D_ln_DXY</w:t>
            </w:r>
          </w:p>
        </w:tc>
        <w:tc>
          <w:tcPr>
            <w:tcW w:w="3192" w:type="dxa"/>
            <w:shd w:val="clear" w:color="auto" w:fill="auto"/>
          </w:tcPr>
          <w:p w:rsidR="005337C5" w:rsidRDefault="005337C5" w:rsidP="005337C5">
            <w:r>
              <w:t>0.0892</w:t>
            </w:r>
          </w:p>
        </w:tc>
        <w:tc>
          <w:tcPr>
            <w:tcW w:w="3192" w:type="dxa"/>
            <w:shd w:val="clear" w:color="auto" w:fill="auto"/>
          </w:tcPr>
          <w:p w:rsidR="005337C5" w:rsidRDefault="005337C5" w:rsidP="005337C5">
            <w:r>
              <w:t>36.8%</w:t>
            </w:r>
          </w:p>
        </w:tc>
      </w:tr>
      <w:tr w:rsidR="005337C5" w:rsidTr="005337C5">
        <w:tc>
          <w:tcPr>
            <w:tcW w:w="3192" w:type="dxa"/>
            <w:shd w:val="clear" w:color="auto" w:fill="auto"/>
          </w:tcPr>
          <w:p w:rsidR="005337C5" w:rsidRDefault="005337C5" w:rsidP="005337C5">
            <w:r>
              <w:t>ECT_lag1</w:t>
            </w:r>
          </w:p>
        </w:tc>
        <w:tc>
          <w:tcPr>
            <w:tcW w:w="3192" w:type="dxa"/>
            <w:shd w:val="clear" w:color="auto" w:fill="auto"/>
          </w:tcPr>
          <w:p w:rsidR="005337C5" w:rsidRDefault="005337C5" w:rsidP="005337C5">
            <w:r>
              <w:t>0.0190</w:t>
            </w:r>
          </w:p>
        </w:tc>
        <w:tc>
          <w:tcPr>
            <w:tcW w:w="3192" w:type="dxa"/>
            <w:shd w:val="clear" w:color="auto" w:fill="auto"/>
          </w:tcPr>
          <w:p w:rsidR="005337C5" w:rsidRDefault="005337C5" w:rsidP="005337C5">
            <w:r>
              <w:t>7.8%</w:t>
            </w:r>
          </w:p>
        </w:tc>
      </w:tr>
      <w:tr w:rsidR="005337C5" w:rsidTr="005337C5">
        <w:tc>
          <w:tcPr>
            <w:tcW w:w="3192" w:type="dxa"/>
            <w:shd w:val="clear" w:color="auto" w:fill="auto"/>
          </w:tcPr>
          <w:p w:rsidR="005337C5" w:rsidRDefault="005337C5" w:rsidP="005337C5">
            <w:r>
              <w:t>D_EPU</w:t>
            </w:r>
          </w:p>
        </w:tc>
        <w:tc>
          <w:tcPr>
            <w:tcW w:w="3192" w:type="dxa"/>
            <w:shd w:val="clear" w:color="auto" w:fill="auto"/>
          </w:tcPr>
          <w:p w:rsidR="005337C5" w:rsidRDefault="005337C5" w:rsidP="005337C5">
            <w:r>
              <w:t>0.0164</w:t>
            </w:r>
          </w:p>
        </w:tc>
        <w:tc>
          <w:tcPr>
            <w:tcW w:w="3192" w:type="dxa"/>
            <w:shd w:val="clear" w:color="auto" w:fill="auto"/>
          </w:tcPr>
          <w:p w:rsidR="005337C5" w:rsidRDefault="005337C5" w:rsidP="005337C5">
            <w:r>
              <w:t>6.7%</w:t>
            </w:r>
          </w:p>
        </w:tc>
      </w:tr>
      <w:tr w:rsidR="005337C5" w:rsidTr="005337C5">
        <w:tc>
          <w:tcPr>
            <w:tcW w:w="3192" w:type="dxa"/>
            <w:shd w:val="clear" w:color="auto" w:fill="auto"/>
          </w:tcPr>
          <w:p w:rsidR="005337C5" w:rsidRDefault="005337C5" w:rsidP="005337C5">
            <w:r>
              <w:t>D_ln_SP500</w:t>
            </w:r>
          </w:p>
        </w:tc>
        <w:tc>
          <w:tcPr>
            <w:tcW w:w="3192" w:type="dxa"/>
            <w:shd w:val="clear" w:color="auto" w:fill="auto"/>
          </w:tcPr>
          <w:p w:rsidR="005337C5" w:rsidRDefault="005337C5" w:rsidP="005337C5">
            <w:r>
              <w:t>0.0088</w:t>
            </w:r>
          </w:p>
        </w:tc>
        <w:tc>
          <w:tcPr>
            <w:tcW w:w="3192" w:type="dxa"/>
            <w:shd w:val="clear" w:color="auto" w:fill="auto"/>
          </w:tcPr>
          <w:p w:rsidR="005337C5" w:rsidRDefault="005337C5" w:rsidP="005337C5">
            <w:r>
              <w:t>3.6%</w:t>
            </w:r>
          </w:p>
        </w:tc>
      </w:tr>
      <w:tr w:rsidR="005337C5" w:rsidTr="005337C5">
        <w:tc>
          <w:tcPr>
            <w:tcW w:w="3192" w:type="dxa"/>
            <w:shd w:val="clear" w:color="auto" w:fill="auto"/>
          </w:tcPr>
          <w:p w:rsidR="005337C5" w:rsidRDefault="005337C5" w:rsidP="005337C5">
            <w:r>
              <w:t>D_M2_Growth</w:t>
            </w:r>
          </w:p>
        </w:tc>
        <w:tc>
          <w:tcPr>
            <w:tcW w:w="3192" w:type="dxa"/>
            <w:shd w:val="clear" w:color="auto" w:fill="auto"/>
          </w:tcPr>
          <w:p w:rsidR="005337C5" w:rsidRDefault="005337C5" w:rsidP="005337C5">
            <w:r>
              <w:t>0.0031</w:t>
            </w:r>
          </w:p>
        </w:tc>
        <w:tc>
          <w:tcPr>
            <w:tcW w:w="3192" w:type="dxa"/>
            <w:shd w:val="clear" w:color="auto" w:fill="auto"/>
          </w:tcPr>
          <w:p w:rsidR="005337C5" w:rsidRDefault="005337C5" w:rsidP="005337C5">
            <w:r>
              <w:t>1.3%</w:t>
            </w:r>
          </w:p>
        </w:tc>
      </w:tr>
      <w:tr w:rsidR="005337C5" w:rsidTr="005337C5">
        <w:tc>
          <w:tcPr>
            <w:tcW w:w="3192" w:type="dxa"/>
            <w:shd w:val="clear" w:color="auto" w:fill="auto"/>
          </w:tcPr>
          <w:p w:rsidR="005337C5" w:rsidRDefault="005337C5" w:rsidP="005337C5">
            <w:r>
              <w:t>D_Credit_Spread</w:t>
            </w:r>
          </w:p>
        </w:tc>
        <w:tc>
          <w:tcPr>
            <w:tcW w:w="3192" w:type="dxa"/>
            <w:shd w:val="clear" w:color="auto" w:fill="auto"/>
          </w:tcPr>
          <w:p w:rsidR="005337C5" w:rsidRDefault="005337C5" w:rsidP="005337C5">
            <w:r>
              <w:t>0.0025</w:t>
            </w:r>
          </w:p>
        </w:tc>
        <w:tc>
          <w:tcPr>
            <w:tcW w:w="3192" w:type="dxa"/>
            <w:shd w:val="clear" w:color="auto" w:fill="auto"/>
          </w:tcPr>
          <w:p w:rsidR="005337C5" w:rsidRDefault="005337C5" w:rsidP="005337C5">
            <w:r>
              <w:t>1.0%</w:t>
            </w:r>
          </w:p>
        </w:tc>
      </w:tr>
      <w:tr w:rsidR="005337C5" w:rsidTr="005337C5">
        <w:tc>
          <w:tcPr>
            <w:tcW w:w="3192" w:type="dxa"/>
            <w:shd w:val="clear" w:color="auto" w:fill="auto"/>
          </w:tcPr>
          <w:p w:rsidR="005337C5" w:rsidRDefault="005337C5" w:rsidP="005337C5">
            <w:r>
              <w:t>D_Breakeven</w:t>
            </w:r>
          </w:p>
        </w:tc>
        <w:tc>
          <w:tcPr>
            <w:tcW w:w="3192" w:type="dxa"/>
            <w:shd w:val="clear" w:color="auto" w:fill="auto"/>
          </w:tcPr>
          <w:p w:rsidR="005337C5" w:rsidRDefault="005337C5" w:rsidP="005337C5">
            <w:r>
              <w:t>0.0008</w:t>
            </w:r>
          </w:p>
        </w:tc>
        <w:tc>
          <w:tcPr>
            <w:tcW w:w="3192" w:type="dxa"/>
            <w:shd w:val="clear" w:color="auto" w:fill="auto"/>
          </w:tcPr>
          <w:p w:rsidR="005337C5" w:rsidRDefault="005337C5" w:rsidP="005337C5">
            <w:r>
              <w:t>0.3%</w:t>
            </w:r>
          </w:p>
        </w:tc>
      </w:tr>
      <w:tr w:rsidR="005337C5" w:rsidTr="005337C5">
        <w:tc>
          <w:tcPr>
            <w:tcW w:w="3192" w:type="dxa"/>
            <w:shd w:val="clear" w:color="auto" w:fill="auto"/>
          </w:tcPr>
          <w:p w:rsidR="005337C5" w:rsidRDefault="005337C5" w:rsidP="005337C5">
            <w:r>
              <w:t>D_VIX</w:t>
            </w:r>
          </w:p>
        </w:tc>
        <w:tc>
          <w:tcPr>
            <w:tcW w:w="3192" w:type="dxa"/>
            <w:shd w:val="clear" w:color="auto" w:fill="auto"/>
          </w:tcPr>
          <w:p w:rsidR="005337C5" w:rsidRDefault="005337C5" w:rsidP="005337C5">
            <w:r>
              <w:t>0.0000</w:t>
            </w:r>
          </w:p>
        </w:tc>
        <w:tc>
          <w:tcPr>
            <w:tcW w:w="3192" w:type="dxa"/>
            <w:shd w:val="clear" w:color="auto" w:fill="auto"/>
          </w:tcPr>
          <w:p w:rsidR="005337C5" w:rsidRDefault="005337C5" w:rsidP="005337C5">
            <w:r>
              <w:t>0.0%</w:t>
            </w:r>
          </w:p>
        </w:tc>
      </w:tr>
      <w:tr w:rsidR="005337C5" w:rsidTr="005337C5">
        <w:tc>
          <w:tcPr>
            <w:tcW w:w="3192" w:type="dxa"/>
            <w:shd w:val="clear" w:color="auto" w:fill="auto"/>
          </w:tcPr>
          <w:p w:rsidR="005337C5" w:rsidRDefault="005337C5" w:rsidP="005337C5">
            <w:r>
              <w:t>D_ln_Oil</w:t>
            </w:r>
          </w:p>
        </w:tc>
        <w:tc>
          <w:tcPr>
            <w:tcW w:w="3192" w:type="dxa"/>
            <w:shd w:val="clear" w:color="auto" w:fill="auto"/>
          </w:tcPr>
          <w:p w:rsidR="005337C5" w:rsidRDefault="005337C5" w:rsidP="005337C5">
            <w:r>
              <w:t>0.0000</w:t>
            </w:r>
          </w:p>
        </w:tc>
        <w:tc>
          <w:tcPr>
            <w:tcW w:w="3192" w:type="dxa"/>
            <w:shd w:val="clear" w:color="auto" w:fill="auto"/>
          </w:tcPr>
          <w:p w:rsidR="005337C5" w:rsidRDefault="005337C5" w:rsidP="005337C5">
            <w:r>
              <w:t>0.0%</w:t>
            </w:r>
          </w:p>
        </w:tc>
      </w:tr>
    </w:tbl>
    <w:p w:rsidR="005337C5" w:rsidRDefault="005337C5" w:rsidP="005337C5"/>
    <w:p w:rsidR="005337C5" w:rsidRDefault="005337C5" w:rsidP="005337C5"/>
    <w:p w:rsidR="005337C5" w:rsidRDefault="005337C5" w:rsidP="005337C5">
      <w:pPr>
        <w:pStyle w:val="Heading1"/>
      </w:pPr>
      <w:r>
        <w:t>8. Pairwise Correlation with Monthly Gold Change</w:t>
      </w:r>
    </w:p>
    <w:p w:rsidR="005337C5" w:rsidRDefault="005337C5" w:rsidP="005337C5">
      <w:r>
        <w:t>Simple linear correlation between each factor's monthly change and gold's monthly change. Positive = factor and gold move in same direction; negative = opposite.</w:t>
      </w:r>
    </w:p>
    <w:p w:rsidR="005337C5" w:rsidRDefault="005337C5" w:rsidP="005337C5"/>
    <w:tbl>
      <w:tblPr>
        <w:tblStyle w:val="TableGrid"/>
        <w:tblW w:w="0" w:type="auto"/>
        <w:tblLayout w:type="fixed"/>
        <w:tblLook w:val="04A0" w:firstRow="1" w:lastRow="0" w:firstColumn="1" w:lastColumn="0" w:noHBand="0" w:noVBand="1"/>
      </w:tblPr>
      <w:tblGrid>
        <w:gridCol w:w="3192"/>
        <w:gridCol w:w="3192"/>
        <w:gridCol w:w="3192"/>
      </w:tblGrid>
      <w:tr w:rsidR="005337C5" w:rsidTr="005337C5">
        <w:tc>
          <w:tcPr>
            <w:tcW w:w="3192" w:type="dxa"/>
            <w:shd w:val="clear" w:color="auto" w:fill="auto"/>
          </w:tcPr>
          <w:p w:rsidR="005337C5" w:rsidRPr="005337C5" w:rsidRDefault="005337C5" w:rsidP="005337C5">
            <w:pPr>
              <w:rPr>
                <w:b/>
              </w:rPr>
            </w:pPr>
            <w:r>
              <w:rPr>
                <w:b/>
              </w:rPr>
              <w:t>Factor</w:t>
            </w:r>
          </w:p>
        </w:tc>
        <w:tc>
          <w:tcPr>
            <w:tcW w:w="3192" w:type="dxa"/>
            <w:shd w:val="clear" w:color="auto" w:fill="auto"/>
          </w:tcPr>
          <w:p w:rsidR="005337C5" w:rsidRPr="005337C5" w:rsidRDefault="005337C5" w:rsidP="005337C5">
            <w:pPr>
              <w:rPr>
                <w:b/>
              </w:rPr>
            </w:pPr>
            <w:r>
              <w:rPr>
                <w:b/>
              </w:rPr>
              <w:t>Correlation (r)</w:t>
            </w:r>
          </w:p>
        </w:tc>
        <w:tc>
          <w:tcPr>
            <w:tcW w:w="3192" w:type="dxa"/>
            <w:shd w:val="clear" w:color="auto" w:fill="auto"/>
          </w:tcPr>
          <w:p w:rsidR="005337C5" w:rsidRPr="005337C5" w:rsidRDefault="005337C5" w:rsidP="005337C5">
            <w:pPr>
              <w:rPr>
                <w:b/>
              </w:rPr>
            </w:pPr>
            <w:r>
              <w:rPr>
                <w:b/>
              </w:rPr>
              <w:t>Relationship</w:t>
            </w:r>
          </w:p>
        </w:tc>
      </w:tr>
      <w:tr w:rsidR="005337C5" w:rsidTr="005337C5">
        <w:tc>
          <w:tcPr>
            <w:tcW w:w="3192" w:type="dxa"/>
            <w:shd w:val="clear" w:color="auto" w:fill="auto"/>
          </w:tcPr>
          <w:p w:rsidR="005337C5" w:rsidRDefault="005337C5" w:rsidP="005337C5">
            <w:r>
              <w:t>D_TIPS_10yr</w:t>
            </w:r>
          </w:p>
        </w:tc>
        <w:tc>
          <w:tcPr>
            <w:tcW w:w="3192" w:type="dxa"/>
            <w:shd w:val="clear" w:color="auto" w:fill="auto"/>
          </w:tcPr>
          <w:p w:rsidR="005337C5" w:rsidRDefault="005337C5" w:rsidP="005337C5">
            <w:r>
              <w:t>-0.469</w:t>
            </w:r>
          </w:p>
        </w:tc>
        <w:tc>
          <w:tcPr>
            <w:tcW w:w="3192" w:type="dxa"/>
            <w:shd w:val="clear" w:color="auto" w:fill="auto"/>
          </w:tcPr>
          <w:p w:rsidR="005337C5" w:rsidRDefault="005337C5" w:rsidP="005337C5">
            <w:r>
              <w:t>Negative with gold</w:t>
            </w:r>
          </w:p>
        </w:tc>
      </w:tr>
      <w:tr w:rsidR="005337C5" w:rsidTr="005337C5">
        <w:tc>
          <w:tcPr>
            <w:tcW w:w="3192" w:type="dxa"/>
            <w:shd w:val="clear" w:color="auto" w:fill="auto"/>
          </w:tcPr>
          <w:p w:rsidR="005337C5" w:rsidRDefault="005337C5" w:rsidP="005337C5">
            <w:r>
              <w:t>D_ln_DXY</w:t>
            </w:r>
          </w:p>
        </w:tc>
        <w:tc>
          <w:tcPr>
            <w:tcW w:w="3192" w:type="dxa"/>
            <w:shd w:val="clear" w:color="auto" w:fill="auto"/>
          </w:tcPr>
          <w:p w:rsidR="005337C5" w:rsidRDefault="005337C5" w:rsidP="005337C5">
            <w:r>
              <w:t>-0.443</w:t>
            </w:r>
          </w:p>
        </w:tc>
        <w:tc>
          <w:tcPr>
            <w:tcW w:w="3192" w:type="dxa"/>
            <w:shd w:val="clear" w:color="auto" w:fill="auto"/>
          </w:tcPr>
          <w:p w:rsidR="005337C5" w:rsidRDefault="005337C5" w:rsidP="005337C5">
            <w:r>
              <w:t>Negative with gold</w:t>
            </w:r>
          </w:p>
        </w:tc>
      </w:tr>
      <w:tr w:rsidR="005337C5" w:rsidTr="005337C5">
        <w:tc>
          <w:tcPr>
            <w:tcW w:w="3192" w:type="dxa"/>
            <w:shd w:val="clear" w:color="auto" w:fill="auto"/>
          </w:tcPr>
          <w:p w:rsidR="005337C5" w:rsidRDefault="005337C5" w:rsidP="005337C5">
            <w:r>
              <w:lastRenderedPageBreak/>
              <w:t>D_VIX</w:t>
            </w:r>
          </w:p>
        </w:tc>
        <w:tc>
          <w:tcPr>
            <w:tcW w:w="3192" w:type="dxa"/>
            <w:shd w:val="clear" w:color="auto" w:fill="auto"/>
          </w:tcPr>
          <w:p w:rsidR="005337C5" w:rsidRDefault="005337C5" w:rsidP="005337C5">
            <w:r>
              <w:t>-0.103</w:t>
            </w:r>
          </w:p>
        </w:tc>
        <w:tc>
          <w:tcPr>
            <w:tcW w:w="3192" w:type="dxa"/>
            <w:shd w:val="clear" w:color="auto" w:fill="auto"/>
          </w:tcPr>
          <w:p w:rsidR="005337C5" w:rsidRDefault="005337C5" w:rsidP="005337C5">
            <w:r>
              <w:t>Negative with gold</w:t>
            </w:r>
          </w:p>
        </w:tc>
      </w:tr>
      <w:tr w:rsidR="005337C5" w:rsidTr="005337C5">
        <w:tc>
          <w:tcPr>
            <w:tcW w:w="3192" w:type="dxa"/>
            <w:shd w:val="clear" w:color="auto" w:fill="auto"/>
          </w:tcPr>
          <w:p w:rsidR="005337C5" w:rsidRDefault="005337C5" w:rsidP="005337C5">
            <w:r>
              <w:t>ECT_lag1</w:t>
            </w:r>
          </w:p>
        </w:tc>
        <w:tc>
          <w:tcPr>
            <w:tcW w:w="3192" w:type="dxa"/>
            <w:shd w:val="clear" w:color="auto" w:fill="auto"/>
          </w:tcPr>
          <w:p w:rsidR="005337C5" w:rsidRDefault="005337C5" w:rsidP="005337C5">
            <w:r>
              <w:t>-0.044</w:t>
            </w:r>
          </w:p>
        </w:tc>
        <w:tc>
          <w:tcPr>
            <w:tcW w:w="3192" w:type="dxa"/>
            <w:shd w:val="clear" w:color="auto" w:fill="auto"/>
          </w:tcPr>
          <w:p w:rsidR="005337C5" w:rsidRDefault="005337C5" w:rsidP="005337C5">
            <w:r>
              <w:t>Neutral</w:t>
            </w:r>
          </w:p>
        </w:tc>
      </w:tr>
      <w:tr w:rsidR="005337C5" w:rsidTr="005337C5">
        <w:tc>
          <w:tcPr>
            <w:tcW w:w="3192" w:type="dxa"/>
            <w:shd w:val="clear" w:color="auto" w:fill="auto"/>
          </w:tcPr>
          <w:p w:rsidR="005337C5" w:rsidRDefault="005337C5" w:rsidP="005337C5">
            <w:r>
              <w:t>D_Credit_Spread</w:t>
            </w:r>
          </w:p>
        </w:tc>
        <w:tc>
          <w:tcPr>
            <w:tcW w:w="3192" w:type="dxa"/>
            <w:shd w:val="clear" w:color="auto" w:fill="auto"/>
          </w:tcPr>
          <w:p w:rsidR="005337C5" w:rsidRDefault="005337C5" w:rsidP="005337C5">
            <w:r>
              <w:t>-0.024</w:t>
            </w:r>
          </w:p>
        </w:tc>
        <w:tc>
          <w:tcPr>
            <w:tcW w:w="3192" w:type="dxa"/>
            <w:shd w:val="clear" w:color="auto" w:fill="auto"/>
          </w:tcPr>
          <w:p w:rsidR="005337C5" w:rsidRDefault="005337C5" w:rsidP="005337C5">
            <w:r>
              <w:t>Neutral</w:t>
            </w:r>
          </w:p>
        </w:tc>
      </w:tr>
      <w:tr w:rsidR="005337C5" w:rsidTr="005337C5">
        <w:tc>
          <w:tcPr>
            <w:tcW w:w="3192" w:type="dxa"/>
            <w:shd w:val="clear" w:color="auto" w:fill="auto"/>
          </w:tcPr>
          <w:p w:rsidR="005337C5" w:rsidRDefault="005337C5" w:rsidP="005337C5">
            <w:r>
              <w:t>D_ln_Oil</w:t>
            </w:r>
          </w:p>
        </w:tc>
        <w:tc>
          <w:tcPr>
            <w:tcW w:w="3192" w:type="dxa"/>
            <w:shd w:val="clear" w:color="auto" w:fill="auto"/>
          </w:tcPr>
          <w:p w:rsidR="005337C5" w:rsidRDefault="005337C5" w:rsidP="005337C5">
            <w:r>
              <w:t>0.048</w:t>
            </w:r>
          </w:p>
        </w:tc>
        <w:tc>
          <w:tcPr>
            <w:tcW w:w="3192" w:type="dxa"/>
            <w:shd w:val="clear" w:color="auto" w:fill="auto"/>
          </w:tcPr>
          <w:p w:rsidR="005337C5" w:rsidRDefault="005337C5" w:rsidP="005337C5">
            <w:r>
              <w:t>Neutral</w:t>
            </w:r>
          </w:p>
        </w:tc>
      </w:tr>
      <w:tr w:rsidR="005337C5" w:rsidTr="005337C5">
        <w:tc>
          <w:tcPr>
            <w:tcW w:w="3192" w:type="dxa"/>
            <w:shd w:val="clear" w:color="auto" w:fill="auto"/>
          </w:tcPr>
          <w:p w:rsidR="005337C5" w:rsidRDefault="005337C5" w:rsidP="005337C5">
            <w:r>
              <w:t>D_ln_SP500</w:t>
            </w:r>
          </w:p>
        </w:tc>
        <w:tc>
          <w:tcPr>
            <w:tcW w:w="3192" w:type="dxa"/>
            <w:shd w:val="clear" w:color="auto" w:fill="auto"/>
          </w:tcPr>
          <w:p w:rsidR="005337C5" w:rsidRDefault="005337C5" w:rsidP="005337C5">
            <w:r>
              <w:t>0.096</w:t>
            </w:r>
          </w:p>
        </w:tc>
        <w:tc>
          <w:tcPr>
            <w:tcW w:w="3192" w:type="dxa"/>
            <w:shd w:val="clear" w:color="auto" w:fill="auto"/>
          </w:tcPr>
          <w:p w:rsidR="005337C5" w:rsidRDefault="005337C5" w:rsidP="005337C5">
            <w:r>
              <w:t>Positive with gold</w:t>
            </w:r>
          </w:p>
        </w:tc>
      </w:tr>
      <w:tr w:rsidR="005337C5" w:rsidTr="005337C5">
        <w:tc>
          <w:tcPr>
            <w:tcW w:w="3192" w:type="dxa"/>
            <w:shd w:val="clear" w:color="auto" w:fill="auto"/>
          </w:tcPr>
          <w:p w:rsidR="005337C5" w:rsidRDefault="005337C5" w:rsidP="005337C5">
            <w:r>
              <w:t>D_Breakeven</w:t>
            </w:r>
          </w:p>
        </w:tc>
        <w:tc>
          <w:tcPr>
            <w:tcW w:w="3192" w:type="dxa"/>
            <w:shd w:val="clear" w:color="auto" w:fill="auto"/>
          </w:tcPr>
          <w:p w:rsidR="005337C5" w:rsidRDefault="005337C5" w:rsidP="005337C5">
            <w:r>
              <w:t>0.140</w:t>
            </w:r>
          </w:p>
        </w:tc>
        <w:tc>
          <w:tcPr>
            <w:tcW w:w="3192" w:type="dxa"/>
            <w:shd w:val="clear" w:color="auto" w:fill="auto"/>
          </w:tcPr>
          <w:p w:rsidR="005337C5" w:rsidRDefault="005337C5" w:rsidP="005337C5">
            <w:r>
              <w:t>Positive with gold</w:t>
            </w:r>
          </w:p>
        </w:tc>
      </w:tr>
      <w:tr w:rsidR="005337C5" w:rsidTr="005337C5">
        <w:tc>
          <w:tcPr>
            <w:tcW w:w="3192" w:type="dxa"/>
            <w:shd w:val="clear" w:color="auto" w:fill="auto"/>
          </w:tcPr>
          <w:p w:rsidR="005337C5" w:rsidRDefault="005337C5" w:rsidP="005337C5">
            <w:r>
              <w:t>D_M2_Growth</w:t>
            </w:r>
          </w:p>
        </w:tc>
        <w:tc>
          <w:tcPr>
            <w:tcW w:w="3192" w:type="dxa"/>
            <w:shd w:val="clear" w:color="auto" w:fill="auto"/>
          </w:tcPr>
          <w:p w:rsidR="005337C5" w:rsidRDefault="005337C5" w:rsidP="005337C5">
            <w:r>
              <w:t>0.140</w:t>
            </w:r>
          </w:p>
        </w:tc>
        <w:tc>
          <w:tcPr>
            <w:tcW w:w="3192" w:type="dxa"/>
            <w:shd w:val="clear" w:color="auto" w:fill="auto"/>
          </w:tcPr>
          <w:p w:rsidR="005337C5" w:rsidRDefault="005337C5" w:rsidP="005337C5">
            <w:r>
              <w:t>Positive with gold</w:t>
            </w:r>
          </w:p>
        </w:tc>
      </w:tr>
      <w:tr w:rsidR="005337C5" w:rsidTr="005337C5">
        <w:tc>
          <w:tcPr>
            <w:tcW w:w="3192" w:type="dxa"/>
            <w:shd w:val="clear" w:color="auto" w:fill="auto"/>
          </w:tcPr>
          <w:p w:rsidR="005337C5" w:rsidRDefault="005337C5" w:rsidP="005337C5">
            <w:r>
              <w:t>D_EPU</w:t>
            </w:r>
          </w:p>
        </w:tc>
        <w:tc>
          <w:tcPr>
            <w:tcW w:w="3192" w:type="dxa"/>
            <w:shd w:val="clear" w:color="auto" w:fill="auto"/>
          </w:tcPr>
          <w:p w:rsidR="005337C5" w:rsidRDefault="005337C5" w:rsidP="005337C5">
            <w:r>
              <w:t>0.155</w:t>
            </w:r>
          </w:p>
        </w:tc>
        <w:tc>
          <w:tcPr>
            <w:tcW w:w="3192" w:type="dxa"/>
            <w:shd w:val="clear" w:color="auto" w:fill="auto"/>
          </w:tcPr>
          <w:p w:rsidR="005337C5" w:rsidRDefault="005337C5" w:rsidP="005337C5">
            <w:r>
              <w:t>Positive with gold</w:t>
            </w:r>
          </w:p>
        </w:tc>
      </w:tr>
    </w:tbl>
    <w:p w:rsidR="005337C5" w:rsidRDefault="005337C5" w:rsidP="005337C5"/>
    <w:p w:rsidR="005337C5" w:rsidRDefault="005337C5" w:rsidP="005337C5"/>
    <w:p w:rsidR="005337C5" w:rsidRDefault="005337C5" w:rsidP="005337C5">
      <w:pPr>
        <w:pStyle w:val="Heading1"/>
      </w:pPr>
      <w:r>
        <w:t>9. Forecast: July 2026</w:t>
      </w:r>
    </w:p>
    <w:p w:rsidR="005337C5" w:rsidRDefault="005337C5" w:rsidP="005337C5">
      <w:r>
        <w:t>Based on factor values observed through June 30, 2026 (partial June 2026), the model forecasts the following for July 2026:</w:t>
      </w:r>
    </w:p>
    <w:p w:rsidR="005337C5" w:rsidRDefault="005337C5" w:rsidP="005337C5"/>
    <w:tbl>
      <w:tblPr>
        <w:tblStyle w:val="TableGrid"/>
        <w:tblW w:w="0" w:type="auto"/>
        <w:tblLayout w:type="fixed"/>
        <w:tblLook w:val="04A0" w:firstRow="1" w:lastRow="0" w:firstColumn="1" w:lastColumn="0" w:noHBand="0" w:noVBand="1"/>
      </w:tblPr>
      <w:tblGrid>
        <w:gridCol w:w="4788"/>
        <w:gridCol w:w="4788"/>
      </w:tblGrid>
      <w:tr w:rsidR="005337C5" w:rsidTr="005337C5">
        <w:tc>
          <w:tcPr>
            <w:tcW w:w="4788" w:type="dxa"/>
            <w:shd w:val="clear" w:color="auto" w:fill="auto"/>
          </w:tcPr>
          <w:p w:rsidR="005337C5" w:rsidRPr="005337C5" w:rsidRDefault="005337C5" w:rsidP="005337C5">
            <w:pPr>
              <w:rPr>
                <w:b/>
              </w:rPr>
            </w:pPr>
            <w:r w:rsidRPr="005337C5">
              <w:rPr>
                <w:b/>
              </w:rPr>
              <w:t>Last observed gold price</w:t>
            </w:r>
          </w:p>
        </w:tc>
        <w:tc>
          <w:tcPr>
            <w:tcW w:w="4788" w:type="dxa"/>
            <w:shd w:val="clear" w:color="auto" w:fill="auto"/>
          </w:tcPr>
          <w:p w:rsidR="005337C5" w:rsidRDefault="005337C5" w:rsidP="005337C5">
            <w:r>
              <w:t>$4,108.20 (as of June 30, 2026)</w:t>
            </w:r>
          </w:p>
        </w:tc>
      </w:tr>
      <w:tr w:rsidR="005337C5" w:rsidTr="005337C5">
        <w:tc>
          <w:tcPr>
            <w:tcW w:w="4788" w:type="dxa"/>
            <w:shd w:val="clear" w:color="auto" w:fill="auto"/>
          </w:tcPr>
          <w:p w:rsidR="005337C5" w:rsidRPr="005337C5" w:rsidRDefault="005337C5" w:rsidP="005337C5">
            <w:pPr>
              <w:rPr>
                <w:b/>
              </w:rPr>
            </w:pPr>
            <w:r w:rsidRPr="005337C5">
              <w:rPr>
                <w:b/>
              </w:rPr>
              <w:t>Predicted change</w:t>
            </w:r>
          </w:p>
        </w:tc>
        <w:tc>
          <w:tcPr>
            <w:tcW w:w="4788" w:type="dxa"/>
            <w:shd w:val="clear" w:color="auto" w:fill="auto"/>
          </w:tcPr>
          <w:p w:rsidR="005337C5" w:rsidRDefault="005337C5" w:rsidP="005337C5">
            <w:r>
              <w:t>-1.15%</w:t>
            </w:r>
          </w:p>
        </w:tc>
      </w:tr>
      <w:tr w:rsidR="005337C5" w:rsidTr="005337C5">
        <w:tc>
          <w:tcPr>
            <w:tcW w:w="4788" w:type="dxa"/>
            <w:shd w:val="clear" w:color="auto" w:fill="auto"/>
          </w:tcPr>
          <w:p w:rsidR="005337C5" w:rsidRPr="005337C5" w:rsidRDefault="005337C5" w:rsidP="005337C5">
            <w:pPr>
              <w:rPr>
                <w:b/>
              </w:rPr>
            </w:pPr>
            <w:r w:rsidRPr="005337C5">
              <w:rPr>
                <w:b/>
              </w:rPr>
              <w:t>Predicted price (July 2026)</w:t>
            </w:r>
          </w:p>
        </w:tc>
        <w:tc>
          <w:tcPr>
            <w:tcW w:w="4788" w:type="dxa"/>
            <w:shd w:val="clear" w:color="auto" w:fill="auto"/>
          </w:tcPr>
          <w:p w:rsidR="005337C5" w:rsidRDefault="005337C5" w:rsidP="005337C5">
            <w:r>
              <w:t>$4,061</w:t>
            </w:r>
          </w:p>
        </w:tc>
      </w:tr>
      <w:tr w:rsidR="005337C5" w:rsidTr="005337C5">
        <w:tc>
          <w:tcPr>
            <w:tcW w:w="4788" w:type="dxa"/>
            <w:shd w:val="clear" w:color="auto" w:fill="auto"/>
          </w:tcPr>
          <w:p w:rsidR="005337C5" w:rsidRPr="005337C5" w:rsidRDefault="005337C5" w:rsidP="005337C5">
            <w:pPr>
              <w:rPr>
                <w:b/>
              </w:rPr>
            </w:pPr>
            <w:r w:rsidRPr="005337C5">
              <w:rPr>
                <w:b/>
              </w:rPr>
              <w:t>95% Confidence range</w:t>
            </w:r>
          </w:p>
        </w:tc>
        <w:tc>
          <w:tcPr>
            <w:tcW w:w="4788" w:type="dxa"/>
            <w:shd w:val="clear" w:color="auto" w:fill="auto"/>
          </w:tcPr>
          <w:p w:rsidR="005337C5" w:rsidRDefault="005337C5" w:rsidP="005337C5">
            <w:r>
              <w:t>$4,009 – $4,114</w:t>
            </w:r>
          </w:p>
        </w:tc>
      </w:tr>
      <w:tr w:rsidR="005337C5" w:rsidTr="005337C5">
        <w:tc>
          <w:tcPr>
            <w:tcW w:w="4788" w:type="dxa"/>
            <w:shd w:val="clear" w:color="auto" w:fill="auto"/>
          </w:tcPr>
          <w:p w:rsidR="005337C5" w:rsidRPr="005337C5" w:rsidRDefault="005337C5" w:rsidP="005337C5">
            <w:pPr>
              <w:rPr>
                <w:b/>
              </w:rPr>
            </w:pPr>
            <w:r w:rsidRPr="005337C5">
              <w:rPr>
                <w:b/>
              </w:rPr>
              <w:t>Model R² (short-run)</w:t>
            </w:r>
          </w:p>
        </w:tc>
        <w:tc>
          <w:tcPr>
            <w:tcW w:w="4788" w:type="dxa"/>
            <w:shd w:val="clear" w:color="auto" w:fill="auto"/>
          </w:tcPr>
          <w:p w:rsidR="005337C5" w:rsidRDefault="005337C5" w:rsidP="005337C5">
            <w:r>
              <w:t>0.361 (explains 36.1% of monthly variance)</w:t>
            </w:r>
          </w:p>
        </w:tc>
      </w:tr>
    </w:tbl>
    <w:p w:rsidR="005337C5" w:rsidRDefault="005337C5" w:rsidP="005337C5"/>
    <w:p w:rsidR="005337C5" w:rsidRDefault="005337C5" w:rsidP="005337C5"/>
    <w:p w:rsidR="005337C5" w:rsidRDefault="005337C5" w:rsidP="005337C5">
      <w:pPr>
        <w:pStyle w:val="Heading2"/>
      </w:pPr>
      <w:r>
        <w:t>9.1  Factor Contributions to July 2026 Forecast</w:t>
      </w:r>
    </w:p>
    <w:p w:rsidR="005337C5" w:rsidRDefault="005337C5" w:rsidP="005337C5">
      <w:r>
        <w:t>Each factor's contribution = its model coefficient x its latest monthly change. Positive contribution = that factor is pushing gold higher; negative = pushing lower.</w:t>
      </w:r>
    </w:p>
    <w:p w:rsidR="005337C5" w:rsidRDefault="005337C5" w:rsidP="005337C5"/>
    <w:tbl>
      <w:tblPr>
        <w:tblStyle w:val="TableGrid"/>
        <w:tblW w:w="0" w:type="auto"/>
        <w:tblLayout w:type="fixed"/>
        <w:tblLook w:val="04A0" w:firstRow="1" w:lastRow="0" w:firstColumn="1" w:lastColumn="0" w:noHBand="0" w:noVBand="1"/>
      </w:tblPr>
      <w:tblGrid>
        <w:gridCol w:w="3192"/>
        <w:gridCol w:w="3192"/>
        <w:gridCol w:w="3192"/>
      </w:tblGrid>
      <w:tr w:rsidR="005337C5" w:rsidTr="005337C5">
        <w:tc>
          <w:tcPr>
            <w:tcW w:w="3192" w:type="dxa"/>
            <w:shd w:val="clear" w:color="auto" w:fill="auto"/>
          </w:tcPr>
          <w:p w:rsidR="005337C5" w:rsidRPr="005337C5" w:rsidRDefault="005337C5" w:rsidP="005337C5">
            <w:pPr>
              <w:rPr>
                <w:b/>
              </w:rPr>
            </w:pPr>
            <w:r>
              <w:rPr>
                <w:b/>
              </w:rPr>
              <w:t>Factor</w:t>
            </w:r>
          </w:p>
        </w:tc>
        <w:tc>
          <w:tcPr>
            <w:tcW w:w="3192" w:type="dxa"/>
            <w:shd w:val="clear" w:color="auto" w:fill="auto"/>
          </w:tcPr>
          <w:p w:rsidR="005337C5" w:rsidRPr="005337C5" w:rsidRDefault="005337C5" w:rsidP="005337C5">
            <w:pPr>
              <w:rPr>
                <w:b/>
              </w:rPr>
            </w:pPr>
            <w:r>
              <w:rPr>
                <w:b/>
              </w:rPr>
              <w:t>Contribution (log pts)</w:t>
            </w:r>
          </w:p>
        </w:tc>
        <w:tc>
          <w:tcPr>
            <w:tcW w:w="3192" w:type="dxa"/>
            <w:shd w:val="clear" w:color="auto" w:fill="auto"/>
          </w:tcPr>
          <w:p w:rsidR="005337C5" w:rsidRPr="005337C5" w:rsidRDefault="005337C5" w:rsidP="005337C5">
            <w:pPr>
              <w:rPr>
                <w:b/>
              </w:rPr>
            </w:pPr>
            <w:r>
              <w:rPr>
                <w:b/>
              </w:rPr>
              <w:t>Direction</w:t>
            </w:r>
          </w:p>
        </w:tc>
      </w:tr>
      <w:tr w:rsidR="005337C5" w:rsidTr="005337C5">
        <w:tc>
          <w:tcPr>
            <w:tcW w:w="3192" w:type="dxa"/>
            <w:shd w:val="clear" w:color="auto" w:fill="auto"/>
          </w:tcPr>
          <w:p w:rsidR="005337C5" w:rsidRDefault="005337C5" w:rsidP="005337C5">
            <w:r>
              <w:t>ECT_lag1</w:t>
            </w:r>
          </w:p>
        </w:tc>
        <w:tc>
          <w:tcPr>
            <w:tcW w:w="3192" w:type="dxa"/>
            <w:shd w:val="clear" w:color="auto" w:fill="auto"/>
          </w:tcPr>
          <w:p w:rsidR="005337C5" w:rsidRDefault="005337C5" w:rsidP="005337C5">
            <w:r>
              <w:t>-0.0093</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D_ln_DXY</w:t>
            </w:r>
          </w:p>
        </w:tc>
        <w:tc>
          <w:tcPr>
            <w:tcW w:w="3192" w:type="dxa"/>
            <w:shd w:val="clear" w:color="auto" w:fill="auto"/>
          </w:tcPr>
          <w:p w:rsidR="005337C5" w:rsidRDefault="005337C5" w:rsidP="005337C5">
            <w:r>
              <w:t>-0.0085</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D_TIPS_10yr</w:t>
            </w:r>
          </w:p>
        </w:tc>
        <w:tc>
          <w:tcPr>
            <w:tcW w:w="3192" w:type="dxa"/>
            <w:shd w:val="clear" w:color="auto" w:fill="auto"/>
          </w:tcPr>
          <w:p w:rsidR="005337C5" w:rsidRDefault="005337C5" w:rsidP="005337C5">
            <w:r>
              <w:t>-0.0075</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D_M2_Growth</w:t>
            </w:r>
          </w:p>
        </w:tc>
        <w:tc>
          <w:tcPr>
            <w:tcW w:w="3192" w:type="dxa"/>
            <w:shd w:val="clear" w:color="auto" w:fill="auto"/>
          </w:tcPr>
          <w:p w:rsidR="005337C5" w:rsidRDefault="005337C5" w:rsidP="005337C5">
            <w:r>
              <w:t>-0.0015</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D_Breakeven</w:t>
            </w:r>
          </w:p>
        </w:tc>
        <w:tc>
          <w:tcPr>
            <w:tcW w:w="3192" w:type="dxa"/>
            <w:shd w:val="clear" w:color="auto" w:fill="auto"/>
          </w:tcPr>
          <w:p w:rsidR="005337C5" w:rsidRDefault="005337C5" w:rsidP="005337C5">
            <w:r>
              <w:t>-0.0010</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D_VIX</w:t>
            </w:r>
          </w:p>
        </w:tc>
        <w:tc>
          <w:tcPr>
            <w:tcW w:w="3192" w:type="dxa"/>
            <w:shd w:val="clear" w:color="auto" w:fill="auto"/>
          </w:tcPr>
          <w:p w:rsidR="005337C5" w:rsidRDefault="005337C5" w:rsidP="005337C5">
            <w:r>
              <w:t>-0.0005</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D_ln_Oil</w:t>
            </w:r>
          </w:p>
        </w:tc>
        <w:tc>
          <w:tcPr>
            <w:tcW w:w="3192" w:type="dxa"/>
            <w:shd w:val="clear" w:color="auto" w:fill="auto"/>
          </w:tcPr>
          <w:p w:rsidR="005337C5" w:rsidRDefault="005337C5" w:rsidP="005337C5">
            <w:r>
              <w:t>-0.0000</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D_EPU</w:t>
            </w:r>
          </w:p>
        </w:tc>
        <w:tc>
          <w:tcPr>
            <w:tcW w:w="3192" w:type="dxa"/>
            <w:shd w:val="clear" w:color="auto" w:fill="auto"/>
          </w:tcPr>
          <w:p w:rsidR="005337C5" w:rsidRDefault="005337C5" w:rsidP="005337C5">
            <w:r>
              <w:t>+0.0000</w:t>
            </w:r>
          </w:p>
        </w:tc>
        <w:tc>
          <w:tcPr>
            <w:tcW w:w="3192" w:type="dxa"/>
            <w:shd w:val="clear" w:color="auto" w:fill="auto"/>
          </w:tcPr>
          <w:p w:rsidR="005337C5" w:rsidRDefault="005337C5" w:rsidP="005337C5">
            <w:r>
              <w:t>Downward pressure</w:t>
            </w:r>
          </w:p>
        </w:tc>
      </w:tr>
      <w:tr w:rsidR="005337C5" w:rsidTr="005337C5">
        <w:tc>
          <w:tcPr>
            <w:tcW w:w="3192" w:type="dxa"/>
            <w:shd w:val="clear" w:color="auto" w:fill="auto"/>
          </w:tcPr>
          <w:p w:rsidR="005337C5" w:rsidRDefault="005337C5" w:rsidP="005337C5">
            <w:r>
              <w:t>D_Credit_Spread</w:t>
            </w:r>
          </w:p>
        </w:tc>
        <w:tc>
          <w:tcPr>
            <w:tcW w:w="3192" w:type="dxa"/>
            <w:shd w:val="clear" w:color="auto" w:fill="auto"/>
          </w:tcPr>
          <w:p w:rsidR="005337C5" w:rsidRDefault="005337C5" w:rsidP="005337C5">
            <w:r>
              <w:t>+0.0003</w:t>
            </w:r>
          </w:p>
        </w:tc>
        <w:tc>
          <w:tcPr>
            <w:tcW w:w="3192" w:type="dxa"/>
            <w:shd w:val="clear" w:color="auto" w:fill="auto"/>
          </w:tcPr>
          <w:p w:rsidR="005337C5" w:rsidRDefault="005337C5" w:rsidP="005337C5">
            <w:r>
              <w:t>Upward pressure</w:t>
            </w:r>
          </w:p>
        </w:tc>
      </w:tr>
      <w:tr w:rsidR="005337C5" w:rsidTr="005337C5">
        <w:tc>
          <w:tcPr>
            <w:tcW w:w="3192" w:type="dxa"/>
            <w:shd w:val="clear" w:color="auto" w:fill="auto"/>
          </w:tcPr>
          <w:p w:rsidR="005337C5" w:rsidRDefault="005337C5" w:rsidP="005337C5">
            <w:r>
              <w:t>D_ln_SP500</w:t>
            </w:r>
          </w:p>
        </w:tc>
        <w:tc>
          <w:tcPr>
            <w:tcW w:w="3192" w:type="dxa"/>
            <w:shd w:val="clear" w:color="auto" w:fill="auto"/>
          </w:tcPr>
          <w:p w:rsidR="005337C5" w:rsidRDefault="005337C5" w:rsidP="005337C5">
            <w:r>
              <w:t>+0.0080</w:t>
            </w:r>
          </w:p>
        </w:tc>
        <w:tc>
          <w:tcPr>
            <w:tcW w:w="3192" w:type="dxa"/>
            <w:shd w:val="clear" w:color="auto" w:fill="auto"/>
          </w:tcPr>
          <w:p w:rsidR="005337C5" w:rsidRDefault="005337C5" w:rsidP="005337C5">
            <w:r>
              <w:t>Upward pressure</w:t>
            </w:r>
          </w:p>
        </w:tc>
      </w:tr>
      <w:tr w:rsidR="005337C5" w:rsidTr="005337C5">
        <w:tc>
          <w:tcPr>
            <w:tcW w:w="3192" w:type="dxa"/>
            <w:shd w:val="clear" w:color="auto" w:fill="auto"/>
          </w:tcPr>
          <w:p w:rsidR="005337C5" w:rsidRPr="005337C5" w:rsidRDefault="005337C5" w:rsidP="005337C5">
            <w:pPr>
              <w:rPr>
                <w:b/>
              </w:rPr>
            </w:pPr>
            <w:r w:rsidRPr="005337C5">
              <w:rPr>
                <w:b/>
              </w:rPr>
              <w:t>TOTAL (predicted change)</w:t>
            </w:r>
          </w:p>
        </w:tc>
        <w:tc>
          <w:tcPr>
            <w:tcW w:w="3192" w:type="dxa"/>
            <w:shd w:val="clear" w:color="auto" w:fill="auto"/>
          </w:tcPr>
          <w:p w:rsidR="005337C5" w:rsidRPr="005337C5" w:rsidRDefault="005337C5" w:rsidP="005337C5">
            <w:pPr>
              <w:rPr>
                <w:b/>
              </w:rPr>
            </w:pPr>
            <w:r w:rsidRPr="005337C5">
              <w:rPr>
                <w:b/>
              </w:rPr>
              <w:t>-0.0115  (-1.15%)</w:t>
            </w:r>
          </w:p>
        </w:tc>
        <w:tc>
          <w:tcPr>
            <w:tcW w:w="3192" w:type="dxa"/>
            <w:shd w:val="clear" w:color="auto" w:fill="auto"/>
          </w:tcPr>
          <w:p w:rsidR="005337C5" w:rsidRPr="005337C5" w:rsidRDefault="005337C5" w:rsidP="005337C5">
            <w:pPr>
              <w:rPr>
                <w:b/>
              </w:rPr>
            </w:pPr>
            <w:r w:rsidRPr="005337C5">
              <w:rPr>
                <w:b/>
              </w:rPr>
              <w:t>Net forecast</w:t>
            </w:r>
          </w:p>
        </w:tc>
      </w:tr>
    </w:tbl>
    <w:p w:rsidR="005337C5" w:rsidRDefault="005337C5" w:rsidP="005337C5"/>
    <w:p w:rsidR="005337C5" w:rsidRDefault="005337C5" w:rsidP="005337C5"/>
    <w:p w:rsidR="005337C5" w:rsidRDefault="005337C5" w:rsidP="005337C5">
      <w:pPr>
        <w:pStyle w:val="Heading1"/>
      </w:pPr>
      <w:r>
        <w:t>10. Model Limitations and Caveats</w:t>
      </w:r>
    </w:p>
    <w:p w:rsidR="005337C5" w:rsidRDefault="005337C5" w:rsidP="005337C5">
      <w:r>
        <w:t>1. Short-run R² = 0.361: The model explains only 36% of monthly gold moves. The remaining 64% reflects sentiment, ETF flows, central bank buying, technical trading, and events not captured by macro variables.</w:t>
      </w:r>
    </w:p>
    <w:p w:rsidR="005337C5" w:rsidRDefault="005337C5" w:rsidP="005337C5">
      <w:r>
        <w:t>2. Linear model: The ARDL-ECM assumes linear relationships. In reality, gold's sensitivity to real rates may be non-linear (stronger when rates cross zero).</w:t>
      </w:r>
    </w:p>
    <w:p w:rsidR="005337C5" w:rsidRDefault="005337C5" w:rsidP="005337C5">
      <w:r>
        <w:t>3. Regime changes: The model is fit on 2005-2026 data covering multiple rate cycles. Parameters may shift in structurally different environments.</w:t>
      </w:r>
    </w:p>
    <w:p w:rsidR="005337C5" w:rsidRDefault="005337C5" w:rsidP="005337C5">
      <w:r>
        <w:t>4. Data lags: CPI and M2 are released with 3-4 week lags and are forward-filled in the model. EPU is an estimate based on text analysis.</w:t>
      </w:r>
    </w:p>
    <w:p w:rsidR="005337C5" w:rsidRDefault="005337C5" w:rsidP="005337C5">
      <w:r>
        <w:t>5. Forecast horizon: The model is optimised for 1-month ahead forecasts. Accuracy degrades significantly at longer horizons.</w:t>
      </w:r>
    </w:p>
    <w:p w:rsidR="005337C5" w:rsidRDefault="005337C5" w:rsidP="005337C5"/>
    <w:p w:rsidR="005337C5" w:rsidRDefault="005337C5" w:rsidP="005337C5">
      <w:pPr>
        <w:pStyle w:val="Heading1"/>
      </w:pPr>
      <w:r>
        <w:t>11. Data Sources</w:t>
      </w:r>
    </w:p>
    <w:tbl>
      <w:tblPr>
        <w:tblStyle w:val="TableGrid"/>
        <w:tblW w:w="0" w:type="auto"/>
        <w:tblLayout w:type="fixed"/>
        <w:tblLook w:val="04A0" w:firstRow="1" w:lastRow="0" w:firstColumn="1" w:lastColumn="0" w:noHBand="0" w:noVBand="1"/>
      </w:tblPr>
      <w:tblGrid>
        <w:gridCol w:w="4788"/>
        <w:gridCol w:w="4788"/>
      </w:tblGrid>
      <w:tr w:rsidR="005337C5" w:rsidTr="005337C5">
        <w:tc>
          <w:tcPr>
            <w:tcW w:w="4788" w:type="dxa"/>
            <w:shd w:val="clear" w:color="auto" w:fill="auto"/>
          </w:tcPr>
          <w:p w:rsidR="005337C5" w:rsidRPr="005337C5" w:rsidRDefault="005337C5" w:rsidP="005337C5">
            <w:pPr>
              <w:rPr>
                <w:b/>
              </w:rPr>
            </w:pPr>
            <w:r>
              <w:rPr>
                <w:b/>
              </w:rPr>
              <w:t>Series</w:t>
            </w:r>
          </w:p>
        </w:tc>
        <w:tc>
          <w:tcPr>
            <w:tcW w:w="4788" w:type="dxa"/>
            <w:shd w:val="clear" w:color="auto" w:fill="auto"/>
          </w:tcPr>
          <w:p w:rsidR="005337C5" w:rsidRPr="005337C5" w:rsidRDefault="005337C5" w:rsidP="005337C5">
            <w:pPr>
              <w:rPr>
                <w:b/>
              </w:rPr>
            </w:pPr>
            <w:r>
              <w:rPr>
                <w:b/>
              </w:rPr>
              <w:t>Source / Ticker</w:t>
            </w:r>
          </w:p>
        </w:tc>
      </w:tr>
      <w:tr w:rsidR="005337C5" w:rsidTr="005337C5">
        <w:tc>
          <w:tcPr>
            <w:tcW w:w="4788" w:type="dxa"/>
            <w:shd w:val="clear" w:color="auto" w:fill="auto"/>
          </w:tcPr>
          <w:p w:rsidR="005337C5" w:rsidRDefault="005337C5" w:rsidP="005337C5">
            <w:r>
              <w:t>Gold price</w:t>
            </w:r>
          </w:p>
        </w:tc>
        <w:tc>
          <w:tcPr>
            <w:tcW w:w="4788" w:type="dxa"/>
            <w:shd w:val="clear" w:color="auto" w:fill="auto"/>
          </w:tcPr>
          <w:p w:rsidR="005337C5" w:rsidRDefault="005337C5" w:rsidP="005337C5">
            <w:r>
              <w:t>Yahoo Finance: GC=F (COMEX Gold Futures)</w:t>
            </w:r>
          </w:p>
        </w:tc>
      </w:tr>
      <w:tr w:rsidR="005337C5" w:rsidTr="005337C5">
        <w:tc>
          <w:tcPr>
            <w:tcW w:w="4788" w:type="dxa"/>
            <w:shd w:val="clear" w:color="auto" w:fill="auto"/>
          </w:tcPr>
          <w:p w:rsidR="005337C5" w:rsidRDefault="005337C5" w:rsidP="005337C5">
            <w:r>
              <w:t>VIX</w:t>
            </w:r>
          </w:p>
        </w:tc>
        <w:tc>
          <w:tcPr>
            <w:tcW w:w="4788" w:type="dxa"/>
            <w:shd w:val="clear" w:color="auto" w:fill="auto"/>
          </w:tcPr>
          <w:p w:rsidR="005337C5" w:rsidRDefault="005337C5" w:rsidP="005337C5">
            <w:r>
              <w:t>Yahoo Finance: ^VIX</w:t>
            </w:r>
          </w:p>
        </w:tc>
      </w:tr>
      <w:tr w:rsidR="005337C5" w:rsidTr="005337C5">
        <w:tc>
          <w:tcPr>
            <w:tcW w:w="4788" w:type="dxa"/>
            <w:shd w:val="clear" w:color="auto" w:fill="auto"/>
          </w:tcPr>
          <w:p w:rsidR="005337C5" w:rsidRDefault="005337C5" w:rsidP="005337C5">
            <w:r>
              <w:t>DXY Dollar Index</w:t>
            </w:r>
          </w:p>
        </w:tc>
        <w:tc>
          <w:tcPr>
            <w:tcW w:w="4788" w:type="dxa"/>
            <w:shd w:val="clear" w:color="auto" w:fill="auto"/>
          </w:tcPr>
          <w:p w:rsidR="005337C5" w:rsidRDefault="005337C5" w:rsidP="005337C5">
            <w:r>
              <w:t>Yahoo Finance: DX-Y.NYB</w:t>
            </w:r>
          </w:p>
        </w:tc>
      </w:tr>
      <w:tr w:rsidR="005337C5" w:rsidTr="005337C5">
        <w:tc>
          <w:tcPr>
            <w:tcW w:w="4788" w:type="dxa"/>
            <w:shd w:val="clear" w:color="auto" w:fill="auto"/>
          </w:tcPr>
          <w:p w:rsidR="005337C5" w:rsidRDefault="005337C5" w:rsidP="005337C5">
            <w:r>
              <w:t>S&amp;P 500</w:t>
            </w:r>
          </w:p>
        </w:tc>
        <w:tc>
          <w:tcPr>
            <w:tcW w:w="4788" w:type="dxa"/>
            <w:shd w:val="clear" w:color="auto" w:fill="auto"/>
          </w:tcPr>
          <w:p w:rsidR="005337C5" w:rsidRDefault="005337C5" w:rsidP="005337C5">
            <w:r>
              <w:t>Yahoo Finance: ^GSPC</w:t>
            </w:r>
          </w:p>
        </w:tc>
      </w:tr>
      <w:tr w:rsidR="005337C5" w:rsidTr="005337C5">
        <w:tc>
          <w:tcPr>
            <w:tcW w:w="4788" w:type="dxa"/>
            <w:shd w:val="clear" w:color="auto" w:fill="auto"/>
          </w:tcPr>
          <w:p w:rsidR="005337C5" w:rsidRDefault="005337C5" w:rsidP="005337C5">
            <w:r>
              <w:t>WTI Crude Oil</w:t>
            </w:r>
          </w:p>
        </w:tc>
        <w:tc>
          <w:tcPr>
            <w:tcW w:w="4788" w:type="dxa"/>
            <w:shd w:val="clear" w:color="auto" w:fill="auto"/>
          </w:tcPr>
          <w:p w:rsidR="005337C5" w:rsidRDefault="005337C5" w:rsidP="005337C5">
            <w:r>
              <w:t>Yahoo Finance: CL=F</w:t>
            </w:r>
          </w:p>
        </w:tc>
      </w:tr>
      <w:tr w:rsidR="005337C5" w:rsidTr="005337C5">
        <w:tc>
          <w:tcPr>
            <w:tcW w:w="4788" w:type="dxa"/>
            <w:shd w:val="clear" w:color="auto" w:fill="auto"/>
          </w:tcPr>
          <w:p w:rsidR="005337C5" w:rsidRDefault="005337C5" w:rsidP="005337C5">
            <w:r>
              <w:t>10-yr TIPS Yield</w:t>
            </w:r>
          </w:p>
        </w:tc>
        <w:tc>
          <w:tcPr>
            <w:tcW w:w="4788" w:type="dxa"/>
            <w:shd w:val="clear" w:color="auto" w:fill="auto"/>
          </w:tcPr>
          <w:p w:rsidR="005337C5" w:rsidRDefault="005337C5" w:rsidP="005337C5">
            <w:r>
              <w:t>FRED: DFII10</w:t>
            </w:r>
          </w:p>
        </w:tc>
      </w:tr>
      <w:tr w:rsidR="005337C5" w:rsidTr="005337C5">
        <w:tc>
          <w:tcPr>
            <w:tcW w:w="4788" w:type="dxa"/>
            <w:shd w:val="clear" w:color="auto" w:fill="auto"/>
          </w:tcPr>
          <w:p w:rsidR="005337C5" w:rsidRDefault="005337C5" w:rsidP="005337C5">
            <w:r>
              <w:t>10-yr Breakeven</w:t>
            </w:r>
          </w:p>
        </w:tc>
        <w:tc>
          <w:tcPr>
            <w:tcW w:w="4788" w:type="dxa"/>
            <w:shd w:val="clear" w:color="auto" w:fill="auto"/>
          </w:tcPr>
          <w:p w:rsidR="005337C5" w:rsidRDefault="005337C5" w:rsidP="005337C5">
            <w:r>
              <w:t>FRED: T10YIE</w:t>
            </w:r>
          </w:p>
        </w:tc>
      </w:tr>
      <w:tr w:rsidR="005337C5" w:rsidTr="005337C5">
        <w:tc>
          <w:tcPr>
            <w:tcW w:w="4788" w:type="dxa"/>
            <w:shd w:val="clear" w:color="auto" w:fill="auto"/>
          </w:tcPr>
          <w:p w:rsidR="005337C5" w:rsidRDefault="005337C5" w:rsidP="005337C5">
            <w:r>
              <w:t>Fed Funds Rate</w:t>
            </w:r>
          </w:p>
        </w:tc>
        <w:tc>
          <w:tcPr>
            <w:tcW w:w="4788" w:type="dxa"/>
            <w:shd w:val="clear" w:color="auto" w:fill="auto"/>
          </w:tcPr>
          <w:p w:rsidR="005337C5" w:rsidRDefault="005337C5" w:rsidP="005337C5">
            <w:r>
              <w:t>FRED: DFF</w:t>
            </w:r>
          </w:p>
        </w:tc>
      </w:tr>
      <w:tr w:rsidR="005337C5" w:rsidTr="005337C5">
        <w:tc>
          <w:tcPr>
            <w:tcW w:w="4788" w:type="dxa"/>
            <w:shd w:val="clear" w:color="auto" w:fill="auto"/>
          </w:tcPr>
          <w:p w:rsidR="005337C5" w:rsidRDefault="005337C5" w:rsidP="005337C5">
            <w:r>
              <w:t>CPI (All Urban)</w:t>
            </w:r>
          </w:p>
        </w:tc>
        <w:tc>
          <w:tcPr>
            <w:tcW w:w="4788" w:type="dxa"/>
            <w:shd w:val="clear" w:color="auto" w:fill="auto"/>
          </w:tcPr>
          <w:p w:rsidR="005337C5" w:rsidRDefault="005337C5" w:rsidP="005337C5">
            <w:r>
              <w:t>FRED: CPIAUCSL</w:t>
            </w:r>
          </w:p>
        </w:tc>
      </w:tr>
      <w:tr w:rsidR="005337C5" w:rsidTr="005337C5">
        <w:tc>
          <w:tcPr>
            <w:tcW w:w="4788" w:type="dxa"/>
            <w:shd w:val="clear" w:color="auto" w:fill="auto"/>
          </w:tcPr>
          <w:p w:rsidR="005337C5" w:rsidRDefault="005337C5" w:rsidP="005337C5">
            <w:r>
              <w:t>Credit Spread</w:t>
            </w:r>
          </w:p>
        </w:tc>
        <w:tc>
          <w:tcPr>
            <w:tcW w:w="4788" w:type="dxa"/>
            <w:shd w:val="clear" w:color="auto" w:fill="auto"/>
          </w:tcPr>
          <w:p w:rsidR="005337C5" w:rsidRDefault="005337C5" w:rsidP="005337C5">
            <w:r>
              <w:t>FRED: BAA10Y (Moody's Baa minus 10yr Treasury)</w:t>
            </w:r>
          </w:p>
        </w:tc>
      </w:tr>
      <w:tr w:rsidR="005337C5" w:rsidTr="005337C5">
        <w:tc>
          <w:tcPr>
            <w:tcW w:w="4788" w:type="dxa"/>
            <w:shd w:val="clear" w:color="auto" w:fill="auto"/>
          </w:tcPr>
          <w:p w:rsidR="005337C5" w:rsidRDefault="005337C5" w:rsidP="005337C5">
            <w:r>
              <w:t>M2 Money Supply</w:t>
            </w:r>
          </w:p>
        </w:tc>
        <w:tc>
          <w:tcPr>
            <w:tcW w:w="4788" w:type="dxa"/>
            <w:shd w:val="clear" w:color="auto" w:fill="auto"/>
          </w:tcPr>
          <w:p w:rsidR="005337C5" w:rsidRDefault="005337C5" w:rsidP="005337C5">
            <w:r>
              <w:t>FRED: M2SL</w:t>
            </w:r>
          </w:p>
        </w:tc>
      </w:tr>
      <w:tr w:rsidR="005337C5" w:rsidTr="005337C5">
        <w:tc>
          <w:tcPr>
            <w:tcW w:w="4788" w:type="dxa"/>
            <w:shd w:val="clear" w:color="auto" w:fill="auto"/>
          </w:tcPr>
          <w:p w:rsidR="005337C5" w:rsidRDefault="005337C5" w:rsidP="005337C5">
            <w:r>
              <w:t>EPU Index</w:t>
            </w:r>
          </w:p>
        </w:tc>
        <w:tc>
          <w:tcPr>
            <w:tcW w:w="4788" w:type="dxa"/>
            <w:shd w:val="clear" w:color="auto" w:fill="auto"/>
          </w:tcPr>
          <w:p w:rsidR="005337C5" w:rsidRDefault="005337C5" w:rsidP="005337C5">
            <w:r>
              <w:t>FRED: USEPUINDXM (Baker, Bloom &amp; Davis)</w:t>
            </w:r>
          </w:p>
        </w:tc>
      </w:tr>
      <w:tr w:rsidR="005337C5" w:rsidTr="005337C5">
        <w:tc>
          <w:tcPr>
            <w:tcW w:w="4788" w:type="dxa"/>
            <w:shd w:val="clear" w:color="auto" w:fill="auto"/>
          </w:tcPr>
          <w:p w:rsidR="005337C5" w:rsidRDefault="005337C5" w:rsidP="005337C5">
            <w:r>
              <w:t>Research references</w:t>
            </w:r>
          </w:p>
        </w:tc>
        <w:tc>
          <w:tcPr>
            <w:tcW w:w="4788" w:type="dxa"/>
            <w:shd w:val="clear" w:color="auto" w:fill="auto"/>
          </w:tcPr>
          <w:p w:rsidR="005337C5" w:rsidRDefault="005337C5" w:rsidP="005337C5">
            <w:r>
              <w:t>LBMA Alchemist Issue 90; Chicago Fed Letter 2021 (464); PIMCO Understanding Gold Prices</w:t>
            </w:r>
          </w:p>
        </w:tc>
      </w:tr>
    </w:tbl>
    <w:p w:rsidR="005337C5" w:rsidRDefault="005337C5" w:rsidP="005337C5"/>
    <w:p w:rsidR="005337C5" w:rsidRPr="005337C5" w:rsidRDefault="005337C5" w:rsidP="005337C5">
      <w:bookmarkStart w:id="0" w:name="_GoBack"/>
      <w:bookmarkEnd w:id="0"/>
    </w:p>
    <w:sectPr w:rsidR="005337C5" w:rsidRPr="00533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7C5"/>
    <w:rsid w:val="00034767"/>
    <w:rsid w:val="005337C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37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37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37C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337C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337C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337C5"/>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5337C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53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37C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37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37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37C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337C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337C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337C5"/>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5337C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53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37C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2400</Words>
  <Characters>13680</Characters>
  <Application>Microsoft Office Word</Application>
  <DocSecurity>0</DocSecurity>
  <Lines>114</Lines>
  <Paragraphs>32</Paragraphs>
  <ScaleCrop>false</ScaleCrop>
  <Company/>
  <LinksUpToDate>false</LinksUpToDate>
  <CharactersWithSpaces>16048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Manton Lai</dc:creator>
  <cp:keywords/>
  <dc:description/>
  <cp:lastModifiedBy>Manton Lai</cp:lastModifiedBy>
  <cp:revision>1</cp:revision>
  <dcterms:created xsi:type="dcterms:W3CDTF">2026-06-13T00:04:00Z</dcterms:created>
  <dcterms:modified xsi:type="dcterms:W3CDTF">2026-06-13T00:04:00Z</dcterms:modified>
</cp:coreProperties>
</file>