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68F7DBEB" w:rsidR="0064351C" w:rsidRPr="000027D4" w:rsidRDefault="00ED5DBC" w:rsidP="00525107">
      <w:pPr>
        <w:pStyle w:val="Ttulo"/>
        <w:rPr>
          <w:rFonts w:ascii="Arial" w:hAnsi="Arial"/>
          <w:bCs/>
          <w:i/>
          <w:sz w:val="44"/>
          <w:szCs w:val="44"/>
        </w:rPr>
      </w:pPr>
      <w:proofErr w:type="gram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MQTT(</w:t>
      </w:r>
      <w:proofErr w:type="spellStart"/>
      <w:proofErr w:type="gramEnd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Transport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>)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FAD567A" w:rsidR="00D55FA2" w:rsidRPr="005356C0" w:rsidRDefault="00ED5DBC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Lais Arlindo dos Santos</w:t>
      </w:r>
    </w:p>
    <w:p w14:paraId="3C31C64E" w14:textId="471C1B6B" w:rsidR="00DE4E35" w:rsidRDefault="00ED5DBC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do Prado dos Santos</w:t>
      </w:r>
    </w:p>
    <w:p w14:paraId="1C54A99F" w14:textId="42D04C88" w:rsidR="00ED5DBC" w:rsidRPr="005356C0" w:rsidRDefault="00ED5DBC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Leandro </w:t>
      </w:r>
      <w:r w:rsidR="000454B2">
        <w:rPr>
          <w:rFonts w:ascii="Arial" w:hAnsi="Arial"/>
          <w:bCs/>
          <w:caps/>
          <w:sz w:val="32"/>
        </w:rPr>
        <w:t>Gaudiu Rosa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02E0DE4A" w:rsidR="006709B3" w:rsidRPr="00D51041" w:rsidRDefault="00691B8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é:</w:t>
      </w:r>
    </w:p>
    <w:p w14:paraId="67B64792" w14:textId="396CA6CD" w:rsidR="00691B8E" w:rsidRDefault="00691B8E" w:rsidP="00D2609C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É um protocolo de mensagens que é baseado em padrão ou em conjunto de </w:t>
      </w:r>
      <w:r w:rsidR="003B1FD1">
        <w:rPr>
          <w:rFonts w:ascii="Arial" w:hAnsi="Arial" w:cs="Arial"/>
        </w:rPr>
        <w:t>regras,</w:t>
      </w:r>
      <w:r>
        <w:rPr>
          <w:rFonts w:ascii="Arial" w:hAnsi="Arial" w:cs="Arial"/>
        </w:rPr>
        <w:t xml:space="preserve"> utilizado para a comunicação entre computadores</w:t>
      </w:r>
      <w:r w:rsidR="003B1FD1">
        <w:rPr>
          <w:rFonts w:ascii="Arial" w:hAnsi="Arial" w:cs="Arial"/>
        </w:rPr>
        <w:t xml:space="preserve"> no caso do MTQQ funciona em cima do protocolo TCP/IP</w:t>
      </w:r>
      <w:r>
        <w:rPr>
          <w:rFonts w:ascii="Arial" w:hAnsi="Arial" w:cs="Arial"/>
        </w:rPr>
        <w:t>. Dispositivos IoT usam esse protocolo para a transmissão de dados já que é fácil de implementar e a comunicação dos dados IoT ocorre com eficiência.</w:t>
      </w:r>
    </w:p>
    <w:p w14:paraId="1847E064" w14:textId="797C3FA1" w:rsidR="003B1FD1" w:rsidRDefault="006E3591" w:rsidP="00D2609C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TCP/IP são p</w:t>
      </w:r>
      <w:r w:rsidR="005E277A">
        <w:rPr>
          <w:rFonts w:ascii="Arial" w:hAnsi="Arial" w:cs="Arial"/>
        </w:rPr>
        <w:t xml:space="preserve">rotocolos </w:t>
      </w:r>
      <w:r w:rsidR="005E277A" w:rsidRPr="005E277A">
        <w:rPr>
          <w:rFonts w:ascii="Arial" w:hAnsi="Arial" w:cs="Arial"/>
        </w:rPr>
        <w:t>independentes</w:t>
      </w:r>
      <w:r w:rsidR="005E277A">
        <w:rPr>
          <w:rFonts w:ascii="Arial" w:hAnsi="Arial" w:cs="Arial"/>
        </w:rPr>
        <w:t xml:space="preserve"> que trabalham em conjunto garantindo que os dados sejam entregues ao destino correto dentro de uma rede. O IP obtém e define o endereço </w:t>
      </w:r>
      <w:r w:rsidR="005E277A" w:rsidRPr="005E277A">
        <w:rPr>
          <w:rFonts w:ascii="Arial" w:hAnsi="Arial" w:cs="Arial"/>
        </w:rPr>
        <w:t xml:space="preserve">do aplicativo ou dispositivo </w:t>
      </w:r>
      <w:r w:rsidR="005E277A">
        <w:rPr>
          <w:rFonts w:ascii="Arial" w:hAnsi="Arial" w:cs="Arial"/>
        </w:rPr>
        <w:t xml:space="preserve">que </w:t>
      </w:r>
      <w:r w:rsidR="005E277A" w:rsidRPr="005E277A">
        <w:rPr>
          <w:rFonts w:ascii="Arial" w:hAnsi="Arial" w:cs="Arial"/>
        </w:rPr>
        <w:t>os dados devem ser enviados.</w:t>
      </w:r>
    </w:p>
    <w:p w14:paraId="5E5E173D" w14:textId="08F97AFD" w:rsidR="000027D4" w:rsidRPr="00D51041" w:rsidRDefault="001B313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História</w:t>
      </w:r>
      <w:r w:rsidR="00D2609C">
        <w:rPr>
          <w:rFonts w:ascii="Arial" w:hAnsi="Arial" w:cs="Arial"/>
          <w:sz w:val="28"/>
          <w:szCs w:val="28"/>
        </w:rPr>
        <w:t>:</w:t>
      </w:r>
    </w:p>
    <w:p w14:paraId="61A8DDAE" w14:textId="626D0EC4" w:rsidR="000027D4" w:rsidRDefault="00D2609C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Em 1999</w:t>
      </w:r>
      <w:r w:rsidR="003B1FD1">
        <w:rPr>
          <w:rFonts w:ascii="Arial" w:hAnsi="Arial" w:cs="Arial"/>
        </w:rPr>
        <w:t xml:space="preserve"> dois engenheiros</w:t>
      </w:r>
      <w:r w:rsidR="006E3591">
        <w:rPr>
          <w:rFonts w:ascii="Arial" w:hAnsi="Arial" w:cs="Arial"/>
        </w:rPr>
        <w:t>,</w:t>
      </w:r>
      <w:r w:rsidR="001F6692">
        <w:rPr>
          <w:rFonts w:ascii="Arial" w:hAnsi="Arial" w:cs="Arial"/>
        </w:rPr>
        <w:t xml:space="preserve"> Arlen </w:t>
      </w:r>
      <w:proofErr w:type="spellStart"/>
      <w:r w:rsidR="001F6692">
        <w:rPr>
          <w:rFonts w:ascii="Arial" w:hAnsi="Arial" w:cs="Arial"/>
        </w:rPr>
        <w:t>Nipper</w:t>
      </w:r>
      <w:proofErr w:type="spellEnd"/>
      <w:r w:rsidR="001F6692">
        <w:rPr>
          <w:rFonts w:ascii="Arial" w:hAnsi="Arial" w:cs="Arial"/>
        </w:rPr>
        <w:t xml:space="preserve"> e Andy Stanford-Clark criaram a primeira versão desse </w:t>
      </w:r>
      <w:r w:rsidR="001B3135">
        <w:rPr>
          <w:rFonts w:ascii="Arial" w:hAnsi="Arial" w:cs="Arial"/>
        </w:rPr>
        <w:t>protocolo, ess</w:t>
      </w:r>
      <w:r w:rsidR="006E3591">
        <w:rPr>
          <w:rFonts w:ascii="Arial" w:hAnsi="Arial" w:cs="Arial"/>
        </w:rPr>
        <w:t>a</w:t>
      </w:r>
      <w:r w:rsidR="001B3135">
        <w:rPr>
          <w:rFonts w:ascii="Arial" w:hAnsi="Arial" w:cs="Arial"/>
        </w:rPr>
        <w:t xml:space="preserve"> primeira aplicação foi </w:t>
      </w:r>
      <w:r w:rsidR="001B3135" w:rsidRPr="001B3135">
        <w:rPr>
          <w:rFonts w:ascii="Arial" w:hAnsi="Arial" w:cs="Arial"/>
        </w:rPr>
        <w:t>usad</w:t>
      </w:r>
      <w:r w:rsidR="006E3591">
        <w:rPr>
          <w:rFonts w:ascii="Arial" w:hAnsi="Arial" w:cs="Arial"/>
        </w:rPr>
        <w:t>a</w:t>
      </w:r>
      <w:r w:rsidR="001B3135" w:rsidRPr="001B3135">
        <w:rPr>
          <w:rFonts w:ascii="Arial" w:hAnsi="Arial" w:cs="Arial"/>
        </w:rPr>
        <w:t xml:space="preserve"> no setor de petróleo e gás</w:t>
      </w:r>
      <w:r w:rsidR="001B3135">
        <w:rPr>
          <w:rFonts w:ascii="Arial" w:hAnsi="Arial" w:cs="Arial"/>
        </w:rPr>
        <w:t>. Essa primeira aplicação foi criada devido</w:t>
      </w:r>
      <w:r w:rsidR="0040287C">
        <w:rPr>
          <w:rFonts w:ascii="Arial" w:hAnsi="Arial" w:cs="Arial"/>
        </w:rPr>
        <w:t xml:space="preserve"> que </w:t>
      </w:r>
      <w:r w:rsidR="001B3135">
        <w:rPr>
          <w:rFonts w:ascii="Arial" w:hAnsi="Arial" w:cs="Arial"/>
        </w:rPr>
        <w:t>e</w:t>
      </w:r>
      <w:r w:rsidR="001B3135" w:rsidRPr="001B3135">
        <w:rPr>
          <w:rFonts w:ascii="Arial" w:hAnsi="Arial" w:cs="Arial"/>
        </w:rPr>
        <w:t>ngenheiros precisavam de um protocolo para largura de banda mínima e perda mínima de bateria para monitorar oleodutos via satélite</w:t>
      </w:r>
      <w:r w:rsidR="001B3135">
        <w:rPr>
          <w:rFonts w:ascii="Arial" w:hAnsi="Arial" w:cs="Arial"/>
        </w:rPr>
        <w:t>.</w:t>
      </w:r>
    </w:p>
    <w:p w14:paraId="79AB7C30" w14:textId="54D7BC22" w:rsidR="0040287C" w:rsidRDefault="0040287C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No inicio o protocolo ficou conhecido </w:t>
      </w:r>
      <w:r w:rsidRPr="0040287C">
        <w:rPr>
          <w:rFonts w:ascii="Arial" w:hAnsi="Arial" w:cs="Arial"/>
        </w:rPr>
        <w:t xml:space="preserve">como </w:t>
      </w:r>
      <w:proofErr w:type="spellStart"/>
      <w:r w:rsidRPr="0040287C">
        <w:rPr>
          <w:rFonts w:ascii="Arial" w:hAnsi="Arial" w:cs="Arial"/>
        </w:rPr>
        <w:t>Message</w:t>
      </w:r>
      <w:proofErr w:type="spellEnd"/>
      <w:r w:rsidRPr="0040287C">
        <w:rPr>
          <w:rFonts w:ascii="Arial" w:hAnsi="Arial" w:cs="Arial"/>
        </w:rPr>
        <w:t xml:space="preserve"> </w:t>
      </w:r>
      <w:proofErr w:type="spellStart"/>
      <w:r w:rsidRPr="0040287C">
        <w:rPr>
          <w:rFonts w:ascii="Arial" w:hAnsi="Arial" w:cs="Arial"/>
        </w:rPr>
        <w:t>Queuing</w:t>
      </w:r>
      <w:proofErr w:type="spellEnd"/>
      <w:r w:rsidRPr="0040287C">
        <w:rPr>
          <w:rFonts w:ascii="Arial" w:hAnsi="Arial" w:cs="Arial"/>
        </w:rPr>
        <w:t xml:space="preserve"> </w:t>
      </w:r>
      <w:proofErr w:type="spellStart"/>
      <w:r w:rsidRPr="0040287C">
        <w:rPr>
          <w:rFonts w:ascii="Arial" w:hAnsi="Arial" w:cs="Arial"/>
        </w:rPr>
        <w:t>Telemetry</w:t>
      </w:r>
      <w:proofErr w:type="spellEnd"/>
      <w:r w:rsidRPr="0040287C">
        <w:rPr>
          <w:rFonts w:ascii="Arial" w:hAnsi="Arial" w:cs="Arial"/>
        </w:rPr>
        <w:t xml:space="preserve"> </w:t>
      </w:r>
      <w:proofErr w:type="spellStart"/>
      <w:r w:rsidRPr="0040287C">
        <w:rPr>
          <w:rFonts w:ascii="Arial" w:hAnsi="Arial" w:cs="Arial"/>
        </w:rPr>
        <w:t>Transport</w:t>
      </w:r>
      <w:proofErr w:type="spellEnd"/>
      <w:r>
        <w:rPr>
          <w:rFonts w:ascii="Arial" w:hAnsi="Arial" w:cs="Arial"/>
        </w:rPr>
        <w:t xml:space="preserve">, </w:t>
      </w:r>
      <w:r w:rsidRPr="0040287C">
        <w:rPr>
          <w:rFonts w:ascii="Arial" w:hAnsi="Arial" w:cs="Arial"/>
        </w:rPr>
        <w:t>devido ao produto da IBM MQ Series que oferecia suporte a sua fase inicial.</w:t>
      </w:r>
      <w:r w:rsidR="005E277A">
        <w:rPr>
          <w:rFonts w:ascii="Arial" w:hAnsi="Arial" w:cs="Arial"/>
        </w:rPr>
        <w:t xml:space="preserve"> </w:t>
      </w:r>
      <w:r w:rsidR="00A252EE">
        <w:rPr>
          <w:rFonts w:ascii="Arial" w:hAnsi="Arial" w:cs="Arial"/>
        </w:rPr>
        <w:t xml:space="preserve">No ano de 2010 </w:t>
      </w:r>
      <w:r w:rsidR="00A252EE" w:rsidRPr="00A252EE">
        <w:rPr>
          <w:rFonts w:ascii="Arial" w:hAnsi="Arial" w:cs="Arial"/>
        </w:rPr>
        <w:t>a IBM lançou o MQTT 3.1</w:t>
      </w:r>
      <w:r w:rsidR="00A252EE">
        <w:rPr>
          <w:rFonts w:ascii="Arial" w:hAnsi="Arial" w:cs="Arial"/>
        </w:rPr>
        <w:t xml:space="preserve">, sendo um protocolo aberto e gratuito </w:t>
      </w:r>
      <w:r w:rsidR="00A252EE" w:rsidRPr="00A252EE">
        <w:rPr>
          <w:rFonts w:ascii="Arial" w:hAnsi="Arial" w:cs="Arial"/>
        </w:rPr>
        <w:t xml:space="preserve">para qualquer pessoa implementar, que foi encaminhado, em 2013, ao órgão de especificação </w:t>
      </w:r>
      <w:proofErr w:type="spellStart"/>
      <w:r w:rsidR="00A252EE" w:rsidRPr="00A252EE">
        <w:rPr>
          <w:rFonts w:ascii="Arial" w:hAnsi="Arial" w:cs="Arial"/>
        </w:rPr>
        <w:t>Organization</w:t>
      </w:r>
      <w:proofErr w:type="spellEnd"/>
      <w:r w:rsidR="00A252EE" w:rsidRPr="00A252EE">
        <w:rPr>
          <w:rFonts w:ascii="Arial" w:hAnsi="Arial" w:cs="Arial"/>
        </w:rPr>
        <w:t xml:space="preserve"> for </w:t>
      </w:r>
      <w:proofErr w:type="spellStart"/>
      <w:r w:rsidR="00A252EE" w:rsidRPr="00A252EE">
        <w:rPr>
          <w:rFonts w:ascii="Arial" w:hAnsi="Arial" w:cs="Arial"/>
        </w:rPr>
        <w:t>the</w:t>
      </w:r>
      <w:proofErr w:type="spellEnd"/>
      <w:r w:rsidR="00A252EE" w:rsidRPr="00A252EE">
        <w:rPr>
          <w:rFonts w:ascii="Arial" w:hAnsi="Arial" w:cs="Arial"/>
        </w:rPr>
        <w:t xml:space="preserve"> </w:t>
      </w:r>
      <w:proofErr w:type="spellStart"/>
      <w:r w:rsidR="00A252EE" w:rsidRPr="00A252EE">
        <w:rPr>
          <w:rFonts w:ascii="Arial" w:hAnsi="Arial" w:cs="Arial"/>
        </w:rPr>
        <w:t>Advancement</w:t>
      </w:r>
      <w:proofErr w:type="spellEnd"/>
      <w:r w:rsidR="00A252EE" w:rsidRPr="00A252EE">
        <w:rPr>
          <w:rFonts w:ascii="Arial" w:hAnsi="Arial" w:cs="Arial"/>
        </w:rPr>
        <w:t xml:space="preserve"> </w:t>
      </w:r>
      <w:proofErr w:type="spellStart"/>
      <w:r w:rsidR="00A252EE" w:rsidRPr="00A252EE">
        <w:rPr>
          <w:rFonts w:ascii="Arial" w:hAnsi="Arial" w:cs="Arial"/>
        </w:rPr>
        <w:t>of</w:t>
      </w:r>
      <w:proofErr w:type="spellEnd"/>
      <w:r w:rsidR="00A252EE" w:rsidRPr="00A252EE">
        <w:rPr>
          <w:rFonts w:ascii="Arial" w:hAnsi="Arial" w:cs="Arial"/>
        </w:rPr>
        <w:t xml:space="preserve"> </w:t>
      </w:r>
      <w:proofErr w:type="spellStart"/>
      <w:r w:rsidR="00A252EE" w:rsidRPr="00A252EE">
        <w:rPr>
          <w:rFonts w:ascii="Arial" w:hAnsi="Arial" w:cs="Arial"/>
        </w:rPr>
        <w:t>Structured</w:t>
      </w:r>
      <w:proofErr w:type="spellEnd"/>
      <w:r w:rsidR="00A252EE" w:rsidRPr="00A252EE">
        <w:rPr>
          <w:rFonts w:ascii="Arial" w:hAnsi="Arial" w:cs="Arial"/>
        </w:rPr>
        <w:t xml:space="preserve"> </w:t>
      </w:r>
      <w:proofErr w:type="spellStart"/>
      <w:r w:rsidR="00A252EE" w:rsidRPr="00A252EE">
        <w:rPr>
          <w:rFonts w:ascii="Arial" w:hAnsi="Arial" w:cs="Arial"/>
        </w:rPr>
        <w:t>Information</w:t>
      </w:r>
      <w:proofErr w:type="spellEnd"/>
      <w:r w:rsidR="00A252EE" w:rsidRPr="00A252EE">
        <w:rPr>
          <w:rFonts w:ascii="Arial" w:hAnsi="Arial" w:cs="Arial"/>
        </w:rPr>
        <w:t xml:space="preserve"> Standards (OASIS) para manutenção.</w:t>
      </w:r>
      <w:r w:rsidR="00A252EE">
        <w:rPr>
          <w:rFonts w:ascii="Arial" w:hAnsi="Arial" w:cs="Arial"/>
        </w:rPr>
        <w:t xml:space="preserve"> Já em 2019 foi lançado uma versão atualizada a </w:t>
      </w:r>
      <w:r w:rsidR="00A252EE" w:rsidRPr="00A252EE">
        <w:rPr>
          <w:rFonts w:ascii="Arial" w:hAnsi="Arial" w:cs="Arial"/>
        </w:rPr>
        <w:t>do MQTT 5</w:t>
      </w:r>
      <w:r w:rsidR="00A252EE">
        <w:rPr>
          <w:rFonts w:ascii="Arial" w:hAnsi="Arial" w:cs="Arial"/>
        </w:rPr>
        <w:t xml:space="preserve">, tornado MQTT não mais um </w:t>
      </w:r>
      <w:r w:rsidR="00A252EE" w:rsidRPr="00A252EE">
        <w:rPr>
          <w:rFonts w:ascii="Arial" w:hAnsi="Arial" w:cs="Arial"/>
        </w:rPr>
        <w:t>acrônimo</w:t>
      </w:r>
      <w:r w:rsidR="00A252EE">
        <w:rPr>
          <w:rFonts w:ascii="Arial" w:hAnsi="Arial" w:cs="Arial"/>
        </w:rPr>
        <w:t>, mas sim o nome oficial do protocolo.</w:t>
      </w:r>
    </w:p>
    <w:p w14:paraId="2673F67F" w14:textId="43DD659E" w:rsidR="00990F98" w:rsidRPr="00990F98" w:rsidRDefault="00D33036" w:rsidP="00990F98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33036">
        <w:rPr>
          <w:rFonts w:ascii="Arial" w:hAnsi="Arial" w:cs="Arial"/>
          <w:sz w:val="28"/>
          <w:szCs w:val="28"/>
        </w:rPr>
        <w:t>Como Funciona</w:t>
      </w:r>
      <w:r w:rsidR="00990F98">
        <w:rPr>
          <w:rFonts w:ascii="Arial" w:hAnsi="Arial" w:cs="Arial"/>
          <w:sz w:val="28"/>
          <w:szCs w:val="28"/>
        </w:rPr>
        <w:t>:</w:t>
      </w:r>
    </w:p>
    <w:p w14:paraId="5DC4895F" w14:textId="336C678E" w:rsidR="006D0649" w:rsidRDefault="00990F98" w:rsidP="006D0649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Existem 2 atores numa comunicação MQTT, primeiro temos o Broker que é o servidor intermediário da informação que recebe os dados enviados pelos sensores </w:t>
      </w:r>
      <w:r w:rsidR="006D0649">
        <w:rPr>
          <w:rFonts w:ascii="Arial" w:hAnsi="Arial" w:cs="Arial"/>
        </w:rPr>
        <w:t>e os dados são tratados e passados adiante. Podem existir mais de um Broker em um sistema, que compartilham os dados recebidos entre si baseados nos clientes e nos dados requisitados por esses.</w:t>
      </w:r>
    </w:p>
    <w:p w14:paraId="12045122" w14:textId="156D60F3" w:rsidR="006D0649" w:rsidRDefault="006D0649" w:rsidP="006D0649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segundo ator, é justamente o cliente que possui duas áreas de atuação sobre a informação que são a postagem e o </w:t>
      </w:r>
      <w:proofErr w:type="spellStart"/>
      <w:r>
        <w:rPr>
          <w:rFonts w:ascii="Arial" w:hAnsi="Arial" w:cs="Arial"/>
        </w:rPr>
        <w:t>recebibento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Publish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Subscriber</w:t>
      </w:r>
      <w:proofErr w:type="spellEnd"/>
      <w:r>
        <w:rPr>
          <w:rFonts w:ascii="Arial" w:hAnsi="Arial" w:cs="Arial"/>
        </w:rPr>
        <w:t xml:space="preserve"> respectivamente) o cliente pode escolher em qual área atuar ou as duas ao mesmo tempo, entretanto independente de qual for a escolha é necessário a presença de Broker para realização </w:t>
      </w:r>
      <w:r w:rsidR="00086AD3">
        <w:rPr>
          <w:rFonts w:ascii="Arial" w:hAnsi="Arial" w:cs="Arial"/>
        </w:rPr>
        <w:t>da intermediação dos dados entre todos os clientes.</w:t>
      </w:r>
    </w:p>
    <w:p w14:paraId="42829F6D" w14:textId="3F84A028" w:rsidR="004B1F8E" w:rsidRDefault="004B1F8E" w:rsidP="006D0649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4D2FEE" wp14:editId="687D5552">
            <wp:extent cx="5002628" cy="3215640"/>
            <wp:effectExtent l="0" t="0" r="7620" b="3810"/>
            <wp:docPr id="1670651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60" cy="3234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416BF" w14:textId="352F9C60" w:rsidR="00086AD3" w:rsidRPr="00086AD3" w:rsidRDefault="00086AD3" w:rsidP="00086AD3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Vantagens:</w:t>
      </w:r>
    </w:p>
    <w:p w14:paraId="55ABD9F1" w14:textId="109C13C2" w:rsidR="00D33036" w:rsidRDefault="00086AD3" w:rsidP="00D33036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Ficam claras duas vantagens o baixo consumo de memória, baixa necessidade de processamento para envio de mensagens e baixo consumo de banda.</w:t>
      </w:r>
      <w:r w:rsidR="00065063">
        <w:rPr>
          <w:rFonts w:ascii="Arial" w:hAnsi="Arial" w:cs="Arial"/>
        </w:rPr>
        <w:t xml:space="preserve"> O MQTT possui essas vantagens pois o </w:t>
      </w:r>
      <w:proofErr w:type="spellStart"/>
      <w:r w:rsidR="00065063">
        <w:rPr>
          <w:rFonts w:ascii="Arial" w:hAnsi="Arial" w:cs="Arial"/>
        </w:rPr>
        <w:t>Publish</w:t>
      </w:r>
      <w:proofErr w:type="spellEnd"/>
      <w:r w:rsidR="00065063">
        <w:rPr>
          <w:rFonts w:ascii="Arial" w:hAnsi="Arial" w:cs="Arial"/>
        </w:rPr>
        <w:t xml:space="preserve"> não envia as informações direto para os </w:t>
      </w:r>
      <w:proofErr w:type="spellStart"/>
      <w:r w:rsidR="00065063">
        <w:rPr>
          <w:rFonts w:ascii="Arial" w:hAnsi="Arial" w:cs="Arial"/>
        </w:rPr>
        <w:t>Subscriber</w:t>
      </w:r>
      <w:proofErr w:type="spellEnd"/>
      <w:r w:rsidR="00065063">
        <w:rPr>
          <w:rFonts w:ascii="Arial" w:hAnsi="Arial" w:cs="Arial"/>
        </w:rPr>
        <w:t xml:space="preserve">, já que não precisa guardar as informações de todos os </w:t>
      </w:r>
      <w:proofErr w:type="spellStart"/>
      <w:r w:rsidR="00065063">
        <w:rPr>
          <w:rFonts w:ascii="Arial" w:hAnsi="Arial" w:cs="Arial"/>
        </w:rPr>
        <w:t>Subscriber</w:t>
      </w:r>
      <w:proofErr w:type="spellEnd"/>
      <w:r w:rsidR="00065063">
        <w:rPr>
          <w:rFonts w:ascii="Arial" w:hAnsi="Arial" w:cs="Arial"/>
        </w:rPr>
        <w:t xml:space="preserve"> assim como fazer vários envios de informações. </w:t>
      </w:r>
    </w:p>
    <w:p w14:paraId="21EDF31F" w14:textId="25244D4C" w:rsidR="00065063" w:rsidRDefault="00065063" w:rsidP="00D33036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Outra vantagem é que o header de uma mensagem nesse protocolo é menor do que um header no protocolo HTTP que acaba economizando o consumo de banda. Isso nos mostra que </w:t>
      </w:r>
      <w:r w:rsidR="004B1F8E">
        <w:rPr>
          <w:rFonts w:ascii="Arial" w:hAnsi="Arial" w:cs="Arial"/>
        </w:rPr>
        <w:t>o MQTT é um ótimo protocolo para o uso de serviços que não há necessidade de muitas informações a serem enviadas e não precisam se um histórico sendo guardado das modificações.</w:t>
      </w:r>
    </w:p>
    <w:p w14:paraId="50A0B2CE" w14:textId="77777777" w:rsidR="00BA79BB" w:rsidRPr="00BA79BB" w:rsidRDefault="00BA79BB" w:rsidP="00BA79BB">
      <w:pPr>
        <w:spacing w:after="120"/>
        <w:rPr>
          <w:rFonts w:ascii="Arial" w:hAnsi="Arial" w:cs="Arial"/>
          <w:sz w:val="28"/>
          <w:szCs w:val="28"/>
        </w:rPr>
      </w:pPr>
    </w:p>
    <w:p w14:paraId="5C0D31AC" w14:textId="603F2EBC" w:rsidR="004B1F8E" w:rsidRPr="00BA79BB" w:rsidRDefault="004B1F8E" w:rsidP="00BA79BB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BA79BB">
        <w:rPr>
          <w:rFonts w:ascii="Arial" w:hAnsi="Arial" w:cs="Arial"/>
          <w:sz w:val="28"/>
          <w:szCs w:val="28"/>
        </w:rPr>
        <w:lastRenderedPageBreak/>
        <w:t>Importância:</w:t>
      </w:r>
    </w:p>
    <w:p w14:paraId="4D023056" w14:textId="7F77B965" w:rsidR="00A252EE" w:rsidRDefault="00144365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Pelo MQTT ser fácil de implementar e enviar informações pequenas é uma ótima opção no mercado IoT, pois não é </w:t>
      </w:r>
      <w:r w:rsidR="00CD72D7">
        <w:rPr>
          <w:rFonts w:ascii="Arial" w:hAnsi="Arial" w:cs="Arial"/>
        </w:rPr>
        <w:t>necessária muita banda</w:t>
      </w:r>
      <w:r>
        <w:rPr>
          <w:rFonts w:ascii="Arial" w:hAnsi="Arial" w:cs="Arial"/>
        </w:rPr>
        <w:t xml:space="preserve"> como também </w:t>
      </w:r>
      <w:r w:rsidR="00CD72D7">
        <w:rPr>
          <w:rFonts w:ascii="Arial" w:hAnsi="Arial" w:cs="Arial"/>
        </w:rPr>
        <w:t>muitos processamentos para a comunicação aconteçam, dessa maneira é possível ter um bom resultado em situações que é preciso soluções de baixo custo, assim como em situações que as conexões não são boas.</w:t>
      </w:r>
    </w:p>
    <w:p w14:paraId="1EF7D5BD" w14:textId="2DF5E6A7" w:rsidR="00CD72D7" w:rsidRDefault="00CD72D7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Atualmente com Brokers gratuitos e a fácil implementação desses é ainda mais fácil de testar esse tipo de serviço e implementar em projetos. O MQTT possui recursos integrados que reduzem o tempo que o dispositivo IoT leva para se reconectar á nuvem, como também define três níveis de qualidade de serviço garantido assim a confiabilidade </w:t>
      </w:r>
      <w:r w:rsidR="00BA79BB">
        <w:rPr>
          <w:rFonts w:ascii="Arial" w:hAnsi="Arial" w:cs="Arial"/>
        </w:rPr>
        <w:t>para casos de uso IoT. Sem contar que muitas linguagens, como por exemplo o Python possui um amplo suporte para a implementação desse protocolo assim os desenvolvedores podem implantar rapidamente com codificação mínima em qualquer tipo de aplicação.</w:t>
      </w:r>
    </w:p>
    <w:p w14:paraId="72658AB0" w14:textId="77777777" w:rsidR="00CD72D7" w:rsidRDefault="00CD72D7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2AF63891" w14:textId="77777777" w:rsidR="00CD72D7" w:rsidRDefault="00CD72D7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4F70ECA9" w14:textId="77777777" w:rsidR="00CD72D7" w:rsidRDefault="00CD72D7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2FDF171" w14:textId="77777777" w:rsidR="0040287C" w:rsidRDefault="0040287C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11B6D0F" w14:textId="77777777" w:rsidR="001B3135" w:rsidRPr="00D51041" w:rsidRDefault="001B3135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FB2CDB0" w:rsidR="00F17BA5" w:rsidRDefault="00BA79BB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aws</w:t>
      </w:r>
      <w:r w:rsidR="00165CC5">
        <w:rPr>
          <w:rFonts w:ascii="Arial" w:hAnsi="Arial" w:cs="Arial"/>
          <w:b/>
          <w:bCs/>
        </w:rPr>
        <w:t>.</w:t>
      </w:r>
      <w:r w:rsidR="002C379D">
        <w:rPr>
          <w:rFonts w:ascii="Arial" w:hAnsi="Arial" w:cs="Arial"/>
          <w:b/>
          <w:bCs/>
        </w:rPr>
        <w:t>amazon.</w:t>
      </w:r>
      <w:r w:rsidR="00165CC5">
        <w:rPr>
          <w:rFonts w:ascii="Arial" w:hAnsi="Arial" w:cs="Arial"/>
          <w:b/>
          <w:bCs/>
        </w:rPr>
        <w:t>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 xml:space="preserve">: </w:t>
      </w:r>
      <w:hyperlink r:id="rId10" w:history="1">
        <w:r w:rsidR="002C379D" w:rsidRPr="00B03159">
          <w:rPr>
            <w:rStyle w:val="Hyperlink"/>
            <w:rFonts w:ascii="Arial" w:hAnsi="Arial" w:cs="Arial"/>
          </w:rPr>
          <w:t>https://aws.amazon.com/pt/what-is/mqtt/#:~:text=O%20MQTT%20tem%20recursos%20integrados,exatamente%20uma%20vez%20(2).</w:t>
        </w:r>
        <w:r w:rsidR="002C379D" w:rsidRPr="00B03159">
          <w:rPr>
            <w:rStyle w:val="Hyperlink"/>
            <w:rFonts w:ascii="Arial" w:hAnsi="Arial" w:cs="Arial"/>
          </w:rPr>
          <w:t xml:space="preserve">  </w:t>
        </w:r>
      </w:hyperlink>
      <w:r w:rsidR="002C379D">
        <w:rPr>
          <w:rFonts w:ascii="Arial" w:hAnsi="Arial" w:cs="Arial"/>
        </w:rPr>
        <w:t xml:space="preserve"> </w:t>
      </w:r>
      <w:r w:rsidR="000027D4"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r w:rsidR="000027D4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>
        <w:rPr>
          <w:rFonts w:ascii="Arial" w:hAnsi="Arial" w:cs="Arial"/>
        </w:rPr>
        <w:t xml:space="preserve"> e 03/05/2024</w:t>
      </w:r>
    </w:p>
    <w:p w14:paraId="2A9A4C13" w14:textId="77777777" w:rsidR="002C379D" w:rsidRDefault="002C37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51A31AC" w14:textId="05AB5097" w:rsidR="00BA79BB" w:rsidRDefault="002C37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pt.</w:t>
      </w:r>
      <w:r w:rsidRPr="002C379D">
        <w:rPr>
          <w:rFonts w:ascii="Arial" w:hAnsi="Arial" w:cs="Arial"/>
          <w:b/>
          <w:bCs/>
        </w:rPr>
        <w:t>wikipédia.</w:t>
      </w:r>
      <w:r>
        <w:rPr>
          <w:rFonts w:ascii="Arial" w:hAnsi="Arial" w:cs="Arial"/>
          <w:b/>
          <w:bCs/>
        </w:rPr>
        <w:t>org</w:t>
      </w:r>
      <w:r>
        <w:rPr>
          <w:rFonts w:ascii="Arial" w:hAnsi="Arial" w:cs="Arial"/>
        </w:rPr>
        <w:t xml:space="preserve"> – Disponível em: </w:t>
      </w:r>
      <w:hyperlink r:id="rId11" w:history="1">
        <w:r w:rsidRPr="002C379D">
          <w:rPr>
            <w:rStyle w:val="Hyperlink"/>
            <w:rFonts w:ascii="Arial" w:hAnsi="Arial" w:cs="Arial"/>
          </w:rPr>
          <w:t>MQTT – Wikipédia, a enciclopédia livre (wikipedia.org)</w:t>
        </w:r>
      </w:hyperlink>
      <w:r w:rsidRPr="002C3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Acessado em: 30/04/2024 e 03/05/2024</w:t>
      </w:r>
    </w:p>
    <w:p w14:paraId="1C6A478D" w14:textId="77777777" w:rsidR="002C379D" w:rsidRDefault="002C37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E94DBDC" w14:textId="724484CF" w:rsidR="002C379D" w:rsidRPr="002C379D" w:rsidRDefault="002C37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gta.ufj.br </w:t>
      </w:r>
      <w:r>
        <w:rPr>
          <w:rFonts w:ascii="Arial" w:hAnsi="Arial" w:cs="Arial"/>
        </w:rPr>
        <w:t xml:space="preserve">– Disponível em: </w:t>
      </w:r>
      <w:hyperlink r:id="rId12" w:history="1">
        <w:r w:rsidRPr="002C379D">
          <w:rPr>
            <w:rStyle w:val="Hyperlink"/>
            <w:rFonts w:ascii="Arial" w:hAnsi="Arial" w:cs="Arial"/>
          </w:rPr>
          <w:t>gta.ufrj.br/ensino/eel878/redes1-2019-1/v1/</w:t>
        </w:r>
        <w:proofErr w:type="spellStart"/>
        <w:r w:rsidRPr="002C379D">
          <w:rPr>
            <w:rStyle w:val="Hyperlink"/>
            <w:rFonts w:ascii="Arial" w:hAnsi="Arial" w:cs="Arial"/>
          </w:rPr>
          <w:t>mqtt</w:t>
        </w:r>
        <w:proofErr w:type="spellEnd"/>
        <w:r w:rsidRPr="002C379D">
          <w:rPr>
            <w:rStyle w:val="Hyperlink"/>
            <w:rFonts w:ascii="Arial" w:hAnsi="Arial" w:cs="Arial"/>
          </w:rPr>
          <w:t>/</w:t>
        </w:r>
      </w:hyperlink>
      <w:r>
        <w:rPr>
          <w:rFonts w:ascii="Arial" w:hAnsi="Arial" w:cs="Arial"/>
        </w:rPr>
        <w:t xml:space="preserve"> Acessado em: 03/05/2024</w:t>
      </w:r>
    </w:p>
    <w:p w14:paraId="35E8E4CC" w14:textId="77777777" w:rsidR="002C379D" w:rsidRPr="002C379D" w:rsidRDefault="002C37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2C379D" w:rsidRPr="002C379D" w:rsidSect="00D75734">
      <w:footerReference w:type="default" r:id="rId13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E08F" w14:textId="77777777" w:rsidR="00D75734" w:rsidRDefault="00D75734">
      <w:r>
        <w:separator/>
      </w:r>
    </w:p>
  </w:endnote>
  <w:endnote w:type="continuationSeparator" w:id="0">
    <w:p w14:paraId="04AFC64F" w14:textId="77777777" w:rsidR="00D75734" w:rsidRDefault="00D7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93836" w14:textId="77777777" w:rsidR="00D75734" w:rsidRDefault="00D75734">
      <w:r>
        <w:separator/>
      </w:r>
    </w:p>
  </w:footnote>
  <w:footnote w:type="continuationSeparator" w:id="0">
    <w:p w14:paraId="0D65D3AF" w14:textId="77777777" w:rsidR="00D75734" w:rsidRDefault="00D7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E5081F"/>
    <w:multiLevelType w:val="hybridMultilevel"/>
    <w:tmpl w:val="31E480F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2596045">
    <w:abstractNumId w:val="11"/>
  </w:num>
  <w:num w:numId="2" w16cid:durableId="1879277206">
    <w:abstractNumId w:val="10"/>
  </w:num>
  <w:num w:numId="3" w16cid:durableId="928388338">
    <w:abstractNumId w:val="15"/>
  </w:num>
  <w:num w:numId="4" w16cid:durableId="37752279">
    <w:abstractNumId w:val="0"/>
  </w:num>
  <w:num w:numId="5" w16cid:durableId="2039700962">
    <w:abstractNumId w:val="2"/>
  </w:num>
  <w:num w:numId="6" w16cid:durableId="1239823869">
    <w:abstractNumId w:val="14"/>
  </w:num>
  <w:num w:numId="7" w16cid:durableId="579566063">
    <w:abstractNumId w:val="4"/>
  </w:num>
  <w:num w:numId="8" w16cid:durableId="1864319400">
    <w:abstractNumId w:val="7"/>
  </w:num>
  <w:num w:numId="9" w16cid:durableId="1682052141">
    <w:abstractNumId w:val="8"/>
  </w:num>
  <w:num w:numId="10" w16cid:durableId="1050032636">
    <w:abstractNumId w:val="3"/>
  </w:num>
  <w:num w:numId="11" w16cid:durableId="1224751503">
    <w:abstractNumId w:val="9"/>
  </w:num>
  <w:num w:numId="12" w16cid:durableId="1172640654">
    <w:abstractNumId w:val="1"/>
  </w:num>
  <w:num w:numId="13" w16cid:durableId="1125851763">
    <w:abstractNumId w:val="12"/>
  </w:num>
  <w:num w:numId="14" w16cid:durableId="1731271086">
    <w:abstractNumId w:val="5"/>
  </w:num>
  <w:num w:numId="15" w16cid:durableId="152768060">
    <w:abstractNumId w:val="15"/>
    <w:lvlOverride w:ilvl="0">
      <w:startOverride w:val="1"/>
    </w:lvlOverride>
  </w:num>
  <w:num w:numId="16" w16cid:durableId="932473091">
    <w:abstractNumId w:val="13"/>
  </w:num>
  <w:num w:numId="17" w16cid:durableId="1399671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54B2"/>
    <w:rsid w:val="0004763C"/>
    <w:rsid w:val="00065063"/>
    <w:rsid w:val="00086AD3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4365"/>
    <w:rsid w:val="00146823"/>
    <w:rsid w:val="00165CC5"/>
    <w:rsid w:val="00175C6B"/>
    <w:rsid w:val="001827F2"/>
    <w:rsid w:val="001A5465"/>
    <w:rsid w:val="001A56F2"/>
    <w:rsid w:val="001B20ED"/>
    <w:rsid w:val="001B3135"/>
    <w:rsid w:val="001C014D"/>
    <w:rsid w:val="001D0F63"/>
    <w:rsid w:val="001E601F"/>
    <w:rsid w:val="001F6692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379D"/>
    <w:rsid w:val="002C47D1"/>
    <w:rsid w:val="002F0304"/>
    <w:rsid w:val="00317149"/>
    <w:rsid w:val="00340F34"/>
    <w:rsid w:val="003622D8"/>
    <w:rsid w:val="00375C6A"/>
    <w:rsid w:val="00396E97"/>
    <w:rsid w:val="003B1FD1"/>
    <w:rsid w:val="003B32EC"/>
    <w:rsid w:val="003C161D"/>
    <w:rsid w:val="003D0806"/>
    <w:rsid w:val="003D54C5"/>
    <w:rsid w:val="003D5870"/>
    <w:rsid w:val="003D6049"/>
    <w:rsid w:val="003D63BE"/>
    <w:rsid w:val="003D7B56"/>
    <w:rsid w:val="0040287C"/>
    <w:rsid w:val="00404187"/>
    <w:rsid w:val="0045511C"/>
    <w:rsid w:val="00460BFD"/>
    <w:rsid w:val="0047248C"/>
    <w:rsid w:val="00472560"/>
    <w:rsid w:val="004B1F8E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5E277A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91B8E"/>
    <w:rsid w:val="006A4CF5"/>
    <w:rsid w:val="006D0649"/>
    <w:rsid w:val="006E030B"/>
    <w:rsid w:val="006E3591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90F98"/>
    <w:rsid w:val="009A79C8"/>
    <w:rsid w:val="009B388C"/>
    <w:rsid w:val="009B6F67"/>
    <w:rsid w:val="009B712C"/>
    <w:rsid w:val="009E0AE0"/>
    <w:rsid w:val="009E2144"/>
    <w:rsid w:val="00A04F2C"/>
    <w:rsid w:val="00A1364E"/>
    <w:rsid w:val="00A252E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A79BB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D72D7"/>
    <w:rsid w:val="00CE3BDE"/>
    <w:rsid w:val="00CE6529"/>
    <w:rsid w:val="00CE7ADE"/>
    <w:rsid w:val="00CF323A"/>
    <w:rsid w:val="00D00ECA"/>
    <w:rsid w:val="00D143DD"/>
    <w:rsid w:val="00D16369"/>
    <w:rsid w:val="00D22E35"/>
    <w:rsid w:val="00D2609C"/>
    <w:rsid w:val="00D33036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5DBC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ta.ufrj.br/ensino/eel878/redes1-2019-1/v1/mqt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QT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pt/what-is/mqtt/#:~:text=O%20MQTT%20tem%20recursos%20integrados,exatamente%20uma%20vez%20(2).  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9FBE-3FA9-45F4-A5C2-933ED3B6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4851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laisarlindo4@gmail.com</cp:lastModifiedBy>
  <cp:revision>2</cp:revision>
  <cp:lastPrinted>2015-05-15T23:01:00Z</cp:lastPrinted>
  <dcterms:created xsi:type="dcterms:W3CDTF">2024-05-03T20:20:00Z</dcterms:created>
  <dcterms:modified xsi:type="dcterms:W3CDTF">2024-05-03T20:20:00Z</dcterms:modified>
</cp:coreProperties>
</file>