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Escola Politécnica de Pernambuco 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Especialização em Ciência de Dados e Analytics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>
        <w:rPr>
          <w:rFonts w:eastAsia="NSimSun" w:cs="Mangal" w:ascii="Arial" w:hAnsi="Arial"/>
          <w:i/>
          <w:color w:val="auto"/>
          <w:kern w:val="2"/>
          <w:sz w:val="28"/>
          <w:szCs w:val="28"/>
          <w:lang w:val="pt-BR" w:eastAsia="zh-CN" w:bidi="hi-IN"/>
        </w:rPr>
        <w:t>Laís Ingrid Soares de Souza Vidoto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36"/>
          <w:szCs w:val="24"/>
          <w:lang w:val="pt-BR" w:eastAsia="zh-CN" w:bidi="hi-IN"/>
        </w:rPr>
      </w:r>
    </w:p>
    <w:p>
      <w:pPr>
        <w:pStyle w:val="Normal"/>
        <w:jc w:val="center"/>
        <w:rPr>
          <w:rFonts w:ascii="Arial" w:hAnsi="Arial" w:eastAsia="NSimSun" w:cs="Mangal"/>
          <w:b/>
          <w:b/>
          <w:bCs w:val="false"/>
          <w:color w:val="auto"/>
          <w:kern w:val="2"/>
          <w:sz w:val="36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 w:val="false"/>
          <w:color w:val="auto"/>
          <w:kern w:val="2"/>
          <w:sz w:val="36"/>
          <w:szCs w:val="24"/>
          <w:lang w:val="pt-BR" w:eastAsia="zh-CN" w:bidi="hi-IN"/>
        </w:rPr>
        <w:t>Fatores que influenciam o consumo de combustível</w:t>
      </w:r>
    </w:p>
    <w:p>
      <w:pPr>
        <w:pStyle w:val="Normal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4962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Estatística Computacional</w:t>
      </w:r>
      <w:r>
        <w:rPr>
          <w:rFonts w:ascii="Arial" w:hAnsi="Arial"/>
          <w:b/>
          <w:sz w:val="28"/>
          <w:szCs w:val="28"/>
        </w:rPr>
        <w:t xml:space="preserve"> </w:t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ind w:left="4962" w:hanging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Recife</w:t>
      </w:r>
    </w:p>
    <w:p>
      <w:pPr>
        <w:pStyle w:val="Normal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12/06/2019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api de dados→ http://archive.ics.uci.edu/ml/datasets/Auto+MPG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Atributos: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Conclusões </w:t>
      </w:r>
      <w:r>
        <w:rPr>
          <w:rFonts w:ascii="Arial" w:hAnsi="Arial"/>
        </w:rPr>
        <w:t xml:space="preserve">após análise dos dados 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Referente a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Interpretação de B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Aumentando a quantidade de cilindros(X),o consumo de gasolina mpg(Y)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 em media,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2,60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por litro,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 com 1 litro em  X, Y será de 1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7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,04,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já que sua amplitude é de 16,78.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y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=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 + (b * x)→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16,78 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+  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0,26 * 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1) )→16,78 + (0,26)→17,04 litros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Gráfico de relação entre o consumo de combustível com á quantidade de Cilindros composta no carro.</w:t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705" cy="32575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LibreOffice/6.1.6.3$Windows_X86_64 LibreOffice_project/5896ab1714085361c45cf540f76f60673dd96a72</Application>
  <Pages>3</Pages>
  <Words>241</Words>
  <Characters>1311</Characters>
  <CharactersWithSpaces>1503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2019-06-12T13:06:42Z</dcterms:modified>
  <cp:revision>24</cp:revision>
  <dc:subject/>
  <dc:title/>
</cp:coreProperties>
</file>