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jc w:val="center"/>
      </w:pPr>
      <w:r>
        <w:rPr>
          <w:rtl/>
          <w:sz w:val="36"/>
          <w:b/>
        </w:rPr>
        <w:t xml:space="preserve">تقرير تسليم مشروع نظم استرجاع المعلومات</w:t>
      </w:r>
    </w:p>
    <w:p>
      <w:pPr>
        <w:bidi/>
        <w:jc w:val="center"/>
      </w:pPr>
      <w:r>
        <w:rPr>
          <w:rtl/>
          <w:sz w:val="30"/>
          <w:b/>
        </w:rPr>
        <w:t xml:space="preserve">Information Retrieval System</w:t>
      </w:r>
    </w:p>
    <w:p>
      <w:pPr>
        <w:bidi/>
        <w:jc w:val="center"/>
      </w:pPr>
      <w:r>
        <w:rPr>
          <w:rtl/>
          <w:sz w:val="24"/>
        </w:rPr>
        <w:t xml:space="preserve">بناء محرك بحث طبي يعتمد على ClinicalTrials ويدعم عدة نماذج استرجاع وتقييم رسمي وواجهة استخدام وREST API.</w:t>
      </w:r>
    </w:p>
    <w:p>
      <w:pPr>
        <w:bidi/>
        <w:jc w:val="right"/>
      </w:pPr>
      <w:r>
        <w:rPr>
          <w:rtl/>
          <w:sz w:val="24"/>
          <w:b/>
        </w:rPr>
        <w:t xml:space="preserve">رابط GitHub:</w:t>
      </w:r>
    </w:p>
    <w:p>
      <w:pPr>
        <w:jc w:val="left"/>
      </w:pPr>
      <w:r>
        <w:rPr>
          <w:rFonts w:ascii="Consolas" w:hAnsi="Consolas"/>
          <w:sz w:val="21"/>
        </w:rPr>
        <w:t xml:space="preserve">git clone https://github.com/laith252/ir_project.git</w:t>
      </w:r>
    </w:p>
    <w:p>
      <w:r>
        <w:br w:type="page"/>
      </w:r>
    </w:p>
    <w:p>
      <w:pPr>
        <w:pStyle w:val="Heading1"/>
        <w:bidi/>
        <w:jc w:val="right"/>
      </w:pPr>
      <w:r>
        <w:rPr>
          <w:rtl/>
          <w:sz w:val="30"/>
          <w:b/>
        </w:rPr>
        <w:t xml:space="preserve">1. فكرة المشروع</w:t>
      </w:r>
    </w:p>
    <w:p>
      <w:pPr>
        <w:bidi/>
        <w:jc w:val="right"/>
      </w:pPr>
      <w:r>
        <w:rPr>
          <w:rtl/>
          <w:sz w:val="24"/>
        </w:rPr>
        <w:t xml:space="preserve">يهدف المشروع إلى بناء نظام استرجاع معلومات يستقبل استعلامًا نصيًا من المستخدم، يعالج الاستعلام، يمثله رقميًا، يبحث ضمن مجموعة وثائق طبية كبيرة، ثم يعيد أكثر الوثائق ارتباطًا مرتبة حسب درجة الملاءمة. النظام لا يكتفي بإظهار معرف الوثيقة، بل يسترجع النص الأصلي من قاعدة SQLite ويعرضه في الواجهة.</w:t>
      </w:r>
    </w:p>
    <w:p>
      <w:pPr>
        <w:bidi/>
        <w:jc w:val="right"/>
      </w:pPr>
      <w:r>
        <w:rPr>
          <w:rtl/>
          <w:sz w:val="24"/>
        </w:rPr>
        <w:t xml:space="preserve">تم تنفيذ النظام بلغة Python مع واجهة Streamlit، وAPI باستخدام FastAPI، وخدمات مستقلة وفق مفهوم Service Oriented Architecture.</w:t>
      </w:r>
    </w:p>
    <w:p>
      <w:pPr>
        <w:pStyle w:val="Heading1"/>
        <w:bidi/>
        <w:jc w:val="right"/>
      </w:pPr>
      <w:r>
        <w:rPr>
          <w:rtl/>
          <w:sz w:val="30"/>
          <w:b/>
        </w:rPr>
        <w:t xml:space="preserve">2. Dataset المستخدمة</w:t>
      </w:r>
    </w:p>
    <w:p>
      <w:pPr>
        <w:bidi/>
        <w:jc w:val="right"/>
      </w:pPr>
      <w:r>
        <w:rPr>
          <w:rtl/>
          <w:sz w:val="23"/>
        </w:rPr>
        <w:t xml:space="preserve">• Dataset ID: clinicaltrials/2017/trec-pm-2017</w:t>
      </w:r>
    </w:p>
    <w:p>
      <w:pPr>
        <w:bidi/>
        <w:jc w:val="right"/>
      </w:pPr>
      <w:r>
        <w:rPr>
          <w:rtl/>
          <w:sz w:val="23"/>
        </w:rPr>
        <w:t xml:space="preserve">• عدد الوثائق: 241,006</w:t>
      </w:r>
    </w:p>
    <w:p>
      <w:pPr>
        <w:bidi/>
        <w:jc w:val="right"/>
      </w:pPr>
      <w:r>
        <w:rPr>
          <w:rtl/>
          <w:sz w:val="23"/>
        </w:rPr>
        <w:t xml:space="preserve">• عدد الاستعلامات: 30</w:t>
      </w:r>
    </w:p>
    <w:p>
      <w:pPr>
        <w:bidi/>
        <w:jc w:val="right"/>
      </w:pPr>
      <w:r>
        <w:rPr>
          <w:rtl/>
          <w:sz w:val="23"/>
        </w:rPr>
        <w:t xml:space="preserve">• عدد الاستعلامات التي لها qrels: 29</w:t>
      </w:r>
    </w:p>
    <w:p>
      <w:pPr>
        <w:bidi/>
        <w:jc w:val="right"/>
      </w:pPr>
      <w:r>
        <w:rPr>
          <w:rtl/>
          <w:sz w:val="23"/>
        </w:rPr>
        <w:t xml:space="preserve">• مصدر البيانات: مكتبة ir_datasets.</w:t>
      </w:r>
    </w:p>
    <w:p>
      <w:pPr>
        <w:bidi/>
        <w:jc w:val="right"/>
      </w:pPr>
      <w:r>
        <w:rPr>
          <w:rtl/>
          <w:sz w:val="24"/>
        </w:rPr>
        <w:t xml:space="preserve">تم اختيار ClinicalTrials 2017 / TREC Precision Medicine 2017 لأنها Dataset طبية كبيرة تتجاوز 200 ألف وثيقة وتحتوي على queries وqrels، مما يسمح بتقييم رسمي باستخدام مقاييس IR. يتم دمج حقول الوثيقة مثل title وcondition وsummary وdetailed_description وeligibility في نص واحد للفهرسة، مع حفظ النص الأصلي في SQLite للعرض.</w:t>
      </w:r>
    </w:p>
    <w:p>
      <w:pPr>
        <w:pStyle w:val="Heading1"/>
        <w:bidi/>
        <w:jc w:val="right"/>
      </w:pPr>
      <w:r>
        <w:rPr>
          <w:rtl/>
          <w:sz w:val="30"/>
          <w:b/>
        </w:rPr>
        <w:t xml:space="preserve">3. خطوات تنفيذ المشروع</w:t>
      </w:r>
    </w:p>
    <w:p>
      <w:pPr>
        <w:bidi/>
        <w:jc w:val="right"/>
      </w:pPr>
      <w:r>
        <w:rPr>
          <w:rtl/>
          <w:sz w:val="23"/>
        </w:rPr>
        <w:t xml:space="preserve">• تحميل Dataset والاستعلامات وqrels باستخدام ir_datasets.</w:t>
      </w:r>
    </w:p>
    <w:p>
      <w:pPr>
        <w:bidi/>
        <w:jc w:val="right"/>
      </w:pPr>
      <w:r>
        <w:rPr>
          <w:rtl/>
          <w:sz w:val="23"/>
        </w:rPr>
        <w:t xml:space="preserve">• دمج الحقول النصية للوثائق الطبية وحفظ النص الأصلي في documents.sqlite.</w:t>
      </w:r>
    </w:p>
    <w:p>
      <w:pPr>
        <w:bidi/>
        <w:jc w:val="right"/>
      </w:pPr>
      <w:r>
        <w:rPr>
          <w:rtl/>
          <w:sz w:val="23"/>
        </w:rPr>
        <w:t xml:space="preserve">• تنظيف النصوص عبر lowercase وtokenization وإزالة الرموز وstop words والكلمات القصيرة.</w:t>
      </w:r>
    </w:p>
    <w:p>
      <w:pPr>
        <w:bidi/>
        <w:jc w:val="right"/>
      </w:pPr>
      <w:r>
        <w:rPr>
          <w:rtl/>
          <w:sz w:val="23"/>
        </w:rPr>
        <w:t xml:space="preserve">• بناء تمثيلات TF-IDF وBM25 وLSA Embedding على كامل Dataset.</w:t>
      </w:r>
    </w:p>
    <w:p>
      <w:pPr>
        <w:bidi/>
        <w:jc w:val="right"/>
      </w:pPr>
      <w:r>
        <w:rPr>
          <w:rtl/>
          <w:sz w:val="23"/>
        </w:rPr>
        <w:t xml:space="preserve">• حفظ الفهرس والنماذج داخل search_index.joblib حتى لا يعاد البناء وقت العرض.</w:t>
      </w:r>
    </w:p>
    <w:p>
      <w:pPr>
        <w:bidi/>
        <w:jc w:val="right"/>
      </w:pPr>
      <w:r>
        <w:rPr>
          <w:rtl/>
          <w:sz w:val="23"/>
        </w:rPr>
        <w:t xml:space="preserve">• تنفيذ الاسترجاع والترتيب بطرق TF-IDF وBM25 وEmbedding وHybrid Parallel وHybrid Serial وBERT reranking.</w:t>
      </w:r>
    </w:p>
    <w:p>
      <w:pPr>
        <w:bidi/>
        <w:jc w:val="right"/>
      </w:pPr>
      <w:r>
        <w:rPr>
          <w:rtl/>
          <w:sz w:val="23"/>
        </w:rPr>
        <w:t xml:space="preserve">• إضافة Query Refinement بالتصحيح والمرادفات، ثم تطويره ليستخدم سجل البحث history.</w:t>
      </w:r>
    </w:p>
    <w:p>
      <w:pPr>
        <w:bidi/>
        <w:jc w:val="right"/>
      </w:pPr>
      <w:r>
        <w:rPr>
          <w:rtl/>
          <w:sz w:val="23"/>
        </w:rPr>
        <w:t xml:space="preserve">• إضافة RAG Chat لاستخراج إجابة مؤرضة من الوثائق المسترجعة مع citations.</w:t>
      </w:r>
    </w:p>
    <w:p>
      <w:pPr>
        <w:bidi/>
        <w:jc w:val="right"/>
      </w:pPr>
      <w:r>
        <w:rPr>
          <w:rtl/>
          <w:sz w:val="23"/>
        </w:rPr>
        <w:t xml:space="preserve">• تقييم النظام باستخدام qrels وحفظ النتائج في CSV وعرضها في تبويب Evaluation.</w:t>
      </w:r>
    </w:p>
    <w:p>
      <w:pPr>
        <w:bidi/>
        <w:jc w:val="right"/>
      </w:pPr>
      <w:r>
        <w:rPr>
          <w:rtl/>
          <w:sz w:val="23"/>
        </w:rPr>
        <w:t xml:space="preserve">• توفير Streamlit UI وFastAPI REST API ومحرك بحث من سطر الأوامر.</w:t>
      </w:r>
    </w:p>
    <w:p>
      <w:pPr>
        <w:pStyle w:val="Heading1"/>
        <w:bidi/>
        <w:jc w:val="right"/>
      </w:pPr>
      <w:r>
        <w:rPr>
          <w:rtl/>
          <w:sz w:val="30"/>
          <w:b/>
        </w:rPr>
        <w:t xml:space="preserve">4. الخدمات ضمن النظام</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3000" w:type="dxa"/>
          </w:tcPr>
          <w:p>
            <w:pPr>
              <w:bidi/>
              <w:jc w:val="right"/>
            </w:pPr>
            <w:r>
              <w:rPr>
                <w:rtl/>
                <w:sz w:val="21"/>
                <w:b/>
              </w:rPr>
              <w:t xml:space="preserve">الخدمة</w:t>
            </w:r>
          </w:p>
        </w:tc>
        <w:tc>
          <w:tcPr>
            <w:tcW w:w="3000" w:type="dxa"/>
          </w:tcPr>
          <w:p>
            <w:pPr>
              <w:bidi/>
              <w:jc w:val="right"/>
            </w:pPr>
            <w:r>
              <w:rPr>
                <w:rtl/>
                <w:sz w:val="21"/>
                <w:b/>
              </w:rPr>
              <w:t xml:space="preserve">الملف</w:t>
            </w:r>
          </w:p>
        </w:tc>
        <w:tc>
          <w:tcPr>
            <w:tcW w:w="3000" w:type="dxa"/>
          </w:tcPr>
          <w:p>
            <w:pPr>
              <w:bidi/>
              <w:jc w:val="right"/>
            </w:pPr>
            <w:r>
              <w:rPr>
                <w:rtl/>
                <w:sz w:val="21"/>
                <w:b/>
              </w:rPr>
              <w:t xml:space="preserve">المسؤولية</w:t>
            </w:r>
          </w:p>
        </w:tc>
      </w:tr>
      <w:tr>
        <w:tc>
          <w:tcPr>
            <w:tcW w:w="3000" w:type="dxa"/>
          </w:tcPr>
          <w:p>
            <w:pPr>
              <w:bidi/>
              <w:jc w:val="right"/>
            </w:pPr>
            <w:r>
              <w:rPr>
                <w:rtl/>
                <w:sz w:val="21"/>
              </w:rPr>
              <w:t xml:space="preserve">Data Service</w:t>
            </w:r>
          </w:p>
        </w:tc>
        <w:tc>
          <w:tcPr>
            <w:tcW w:w="3000" w:type="dxa"/>
          </w:tcPr>
          <w:p>
            <w:pPr>
              <w:bidi/>
              <w:jc w:val="right"/>
            </w:pPr>
            <w:r>
              <w:rPr>
                <w:rtl/>
                <w:sz w:val="21"/>
              </w:rPr>
              <w:t xml:space="preserve">src/ir_project/services/data_service.py</w:t>
            </w:r>
          </w:p>
        </w:tc>
        <w:tc>
          <w:tcPr>
            <w:tcW w:w="3000" w:type="dxa"/>
          </w:tcPr>
          <w:p>
            <w:pPr>
              <w:bidi/>
              <w:jc w:val="right"/>
            </w:pPr>
            <w:r>
              <w:rPr>
                <w:rtl/>
                <w:sz w:val="21"/>
              </w:rPr>
              <w:t xml:space="preserve">تحميل Dataset وqueries وqrels ودمج حقول الوثائق.</w:t>
            </w:r>
          </w:p>
        </w:tc>
      </w:tr>
      <w:tr>
        <w:tc>
          <w:tcPr>
            <w:tcW w:w="3000" w:type="dxa"/>
          </w:tcPr>
          <w:p>
            <w:pPr>
              <w:bidi/>
              <w:jc w:val="right"/>
            </w:pPr>
            <w:r>
              <w:rPr>
                <w:rtl/>
                <w:sz w:val="21"/>
              </w:rPr>
              <w:t xml:space="preserve">Document Store</w:t>
            </w:r>
          </w:p>
        </w:tc>
        <w:tc>
          <w:tcPr>
            <w:tcW w:w="3000" w:type="dxa"/>
          </w:tcPr>
          <w:p>
            <w:pPr>
              <w:bidi/>
              <w:jc w:val="right"/>
            </w:pPr>
            <w:r>
              <w:rPr>
                <w:rtl/>
                <w:sz w:val="21"/>
              </w:rPr>
              <w:t xml:space="preserve">src/ir_project/services/database.py</w:t>
            </w:r>
          </w:p>
        </w:tc>
        <w:tc>
          <w:tcPr>
            <w:tcW w:w="3000" w:type="dxa"/>
          </w:tcPr>
          <w:p>
            <w:pPr>
              <w:bidi/>
              <w:jc w:val="right"/>
            </w:pPr>
            <w:r>
              <w:rPr>
                <w:rtl/>
                <w:sz w:val="21"/>
              </w:rPr>
              <w:t xml:space="preserve">تخزين النصوص الأصلية في SQLite واسترجاعها حسب doc_id.</w:t>
            </w:r>
          </w:p>
        </w:tc>
      </w:tr>
      <w:tr>
        <w:tc>
          <w:tcPr>
            <w:tcW w:w="3000" w:type="dxa"/>
          </w:tcPr>
          <w:p>
            <w:pPr>
              <w:bidi/>
              <w:jc w:val="right"/>
            </w:pPr>
            <w:r>
              <w:rPr>
                <w:rtl/>
                <w:sz w:val="21"/>
              </w:rPr>
              <w:t xml:space="preserve">Preprocessing Service</w:t>
            </w:r>
          </w:p>
        </w:tc>
        <w:tc>
          <w:tcPr>
            <w:tcW w:w="3000" w:type="dxa"/>
          </w:tcPr>
          <w:p>
            <w:pPr>
              <w:bidi/>
              <w:jc w:val="right"/>
            </w:pPr>
            <w:r>
              <w:rPr>
                <w:rtl/>
                <w:sz w:val="21"/>
              </w:rPr>
              <w:t xml:space="preserve">src/ir_project/services/text_processing.py</w:t>
            </w:r>
          </w:p>
        </w:tc>
        <w:tc>
          <w:tcPr>
            <w:tcW w:w="3000" w:type="dxa"/>
          </w:tcPr>
          <w:p>
            <w:pPr>
              <w:bidi/>
              <w:jc w:val="right"/>
            </w:pPr>
            <w:r>
              <w:rPr>
                <w:rtl/>
                <w:sz w:val="21"/>
              </w:rPr>
              <w:t xml:space="preserve">تنظيف النصوص والاستعلامات بنفس الطريقة.</w:t>
            </w:r>
          </w:p>
        </w:tc>
      </w:tr>
      <w:tr>
        <w:tc>
          <w:tcPr>
            <w:tcW w:w="3000" w:type="dxa"/>
          </w:tcPr>
          <w:p>
            <w:pPr>
              <w:bidi/>
              <w:jc w:val="right"/>
            </w:pPr>
            <w:r>
              <w:rPr>
                <w:rtl/>
                <w:sz w:val="21"/>
              </w:rPr>
              <w:t xml:space="preserve">Indexing Service</w:t>
            </w:r>
          </w:p>
        </w:tc>
        <w:tc>
          <w:tcPr>
            <w:tcW w:w="3000" w:type="dxa"/>
          </w:tcPr>
          <w:p>
            <w:pPr>
              <w:bidi/>
              <w:jc w:val="right"/>
            </w:pPr>
            <w:r>
              <w:rPr>
                <w:rtl/>
                <w:sz w:val="21"/>
              </w:rPr>
              <w:t xml:space="preserve">src/ir_project/services/indexing_service.py</w:t>
            </w:r>
          </w:p>
        </w:tc>
        <w:tc>
          <w:tcPr>
            <w:tcW w:w="3000" w:type="dxa"/>
          </w:tcPr>
          <w:p>
            <w:pPr>
              <w:bidi/>
              <w:jc w:val="right"/>
            </w:pPr>
            <w:r>
              <w:rPr>
                <w:rtl/>
                <w:sz w:val="21"/>
              </w:rPr>
              <w:t xml:space="preserve">بناء TF-IDF وBM25 وLSA Embeddings وحفظ SearchIndex.</w:t>
            </w:r>
          </w:p>
        </w:tc>
      </w:tr>
      <w:tr>
        <w:tc>
          <w:tcPr>
            <w:tcW w:w="3000" w:type="dxa"/>
          </w:tcPr>
          <w:p>
            <w:pPr>
              <w:bidi/>
              <w:jc w:val="right"/>
            </w:pPr>
            <w:r>
              <w:rPr>
                <w:rtl/>
                <w:sz w:val="21"/>
              </w:rPr>
              <w:t xml:space="preserve">BM25 Service</w:t>
            </w:r>
          </w:p>
        </w:tc>
        <w:tc>
          <w:tcPr>
            <w:tcW w:w="3000" w:type="dxa"/>
          </w:tcPr>
          <w:p>
            <w:pPr>
              <w:bidi/>
              <w:jc w:val="right"/>
            </w:pPr>
            <w:r>
              <w:rPr>
                <w:rtl/>
                <w:sz w:val="21"/>
              </w:rPr>
              <w:t xml:space="preserve">src/ir_project/services/bm25.py</w:t>
            </w:r>
          </w:p>
        </w:tc>
        <w:tc>
          <w:tcPr>
            <w:tcW w:w="3000" w:type="dxa"/>
          </w:tcPr>
          <w:p>
            <w:pPr>
              <w:bidi/>
              <w:jc w:val="right"/>
            </w:pPr>
            <w:r>
              <w:rPr>
                <w:rtl/>
                <w:sz w:val="21"/>
              </w:rPr>
              <w:t xml:space="preserve">حساب درجات BM25 باستخدام sparse matrices مع k1 وb.</w:t>
            </w:r>
          </w:p>
        </w:tc>
      </w:tr>
      <w:tr>
        <w:tc>
          <w:tcPr>
            <w:tcW w:w="3000" w:type="dxa"/>
          </w:tcPr>
          <w:p>
            <w:pPr>
              <w:bidi/>
              <w:jc w:val="right"/>
            </w:pPr>
            <w:r>
              <w:rPr>
                <w:rtl/>
                <w:sz w:val="21"/>
              </w:rPr>
              <w:t xml:space="preserve">Retrieval Service</w:t>
            </w:r>
          </w:p>
        </w:tc>
        <w:tc>
          <w:tcPr>
            <w:tcW w:w="3000" w:type="dxa"/>
          </w:tcPr>
          <w:p>
            <w:pPr>
              <w:bidi/>
              <w:jc w:val="right"/>
            </w:pPr>
            <w:r>
              <w:rPr>
                <w:rtl/>
                <w:sz w:val="21"/>
              </w:rPr>
              <w:t xml:space="preserve">src/ir_project/services/retrieval_service.py</w:t>
            </w:r>
          </w:p>
        </w:tc>
        <w:tc>
          <w:tcPr>
            <w:tcW w:w="3000" w:type="dxa"/>
          </w:tcPr>
          <w:p>
            <w:pPr>
              <w:bidi/>
              <w:jc w:val="right"/>
            </w:pPr>
            <w:r>
              <w:rPr>
                <w:rtl/>
                <w:sz w:val="21"/>
              </w:rPr>
              <w:t xml:space="preserve">تنفيذ طرق البحث والترتيب والدمج الهجين وتمرير history عند التفعيل.</w:t>
            </w:r>
          </w:p>
        </w:tc>
      </w:tr>
      <w:tr>
        <w:tc>
          <w:tcPr>
            <w:tcW w:w="3000" w:type="dxa"/>
          </w:tcPr>
          <w:p>
            <w:pPr>
              <w:bidi/>
              <w:jc w:val="right"/>
            </w:pPr>
            <w:r>
              <w:rPr>
                <w:rtl/>
                <w:sz w:val="21"/>
              </w:rPr>
              <w:t xml:space="preserve">Query Refinement Service</w:t>
            </w:r>
          </w:p>
        </w:tc>
        <w:tc>
          <w:tcPr>
            <w:tcW w:w="3000" w:type="dxa"/>
          </w:tcPr>
          <w:p>
            <w:pPr>
              <w:bidi/>
              <w:jc w:val="right"/>
            </w:pPr>
            <w:r>
              <w:rPr>
                <w:rtl/>
                <w:sz w:val="21"/>
              </w:rPr>
              <w:t xml:space="preserve">src/ir_project/services/query_refinement.py</w:t>
            </w:r>
          </w:p>
        </w:tc>
        <w:tc>
          <w:tcPr>
            <w:tcW w:w="3000" w:type="dxa"/>
          </w:tcPr>
          <w:p>
            <w:pPr>
              <w:bidi/>
              <w:jc w:val="right"/>
            </w:pPr>
            <w:r>
              <w:rPr>
                <w:rtl/>
                <w:sz w:val="21"/>
              </w:rPr>
              <w:t xml:space="preserve">تصحيح إملائي ومرادفات واقتراحات وتوسيع استعلام اعتمادًا على سجل البحث.</w:t>
            </w:r>
          </w:p>
        </w:tc>
      </w:tr>
      <w:tr>
        <w:tc>
          <w:tcPr>
            <w:tcW w:w="3000" w:type="dxa"/>
          </w:tcPr>
          <w:p>
            <w:pPr>
              <w:bidi/>
              <w:jc w:val="right"/>
            </w:pPr>
            <w:r>
              <w:rPr>
                <w:rtl/>
                <w:sz w:val="21"/>
              </w:rPr>
              <w:t xml:space="preserve">BERT Reranker</w:t>
            </w:r>
          </w:p>
        </w:tc>
        <w:tc>
          <w:tcPr>
            <w:tcW w:w="3000" w:type="dxa"/>
          </w:tcPr>
          <w:p>
            <w:pPr>
              <w:bidi/>
              <w:jc w:val="right"/>
            </w:pPr>
            <w:r>
              <w:rPr>
                <w:rtl/>
                <w:sz w:val="21"/>
              </w:rPr>
              <w:t xml:space="preserve">src/ir_project/services/bert_reranker.py</w:t>
            </w:r>
          </w:p>
        </w:tc>
        <w:tc>
          <w:tcPr>
            <w:tcW w:w="3000" w:type="dxa"/>
          </w:tcPr>
          <w:p>
            <w:pPr>
              <w:bidi/>
              <w:jc w:val="right"/>
            </w:pPr>
            <w:r>
              <w:rPr>
                <w:rtl/>
                <w:sz w:val="21"/>
              </w:rPr>
              <w:t xml:space="preserve">إعادة ترتيب مرشحي BM25 باستخدام Sentence-BERT.</w:t>
            </w:r>
          </w:p>
        </w:tc>
      </w:tr>
      <w:tr>
        <w:tc>
          <w:tcPr>
            <w:tcW w:w="3000" w:type="dxa"/>
          </w:tcPr>
          <w:p>
            <w:pPr>
              <w:bidi/>
              <w:jc w:val="right"/>
            </w:pPr>
            <w:r>
              <w:rPr>
                <w:rtl/>
                <w:sz w:val="21"/>
              </w:rPr>
              <w:t xml:space="preserve">Evaluation Service</w:t>
            </w:r>
          </w:p>
        </w:tc>
        <w:tc>
          <w:tcPr>
            <w:tcW w:w="3000" w:type="dxa"/>
          </w:tcPr>
          <w:p>
            <w:pPr>
              <w:bidi/>
              <w:jc w:val="right"/>
            </w:pPr>
            <w:r>
              <w:rPr>
                <w:rtl/>
                <w:sz w:val="21"/>
              </w:rPr>
              <w:t xml:space="preserve">src/ir_project/services/evaluation_service.py</w:t>
            </w:r>
          </w:p>
        </w:tc>
        <w:tc>
          <w:tcPr>
            <w:tcW w:w="3000" w:type="dxa"/>
          </w:tcPr>
          <w:p>
            <w:pPr>
              <w:bidi/>
              <w:jc w:val="right"/>
            </w:pPr>
            <w:r>
              <w:rPr>
                <w:rtl/>
                <w:sz w:val="21"/>
              </w:rPr>
              <w:t xml:space="preserve">حساب MAP وnDCG وPrecision وRecall.</w:t>
            </w:r>
          </w:p>
        </w:tc>
      </w:tr>
      <w:tr>
        <w:tc>
          <w:tcPr>
            <w:tcW w:w="3000" w:type="dxa"/>
          </w:tcPr>
          <w:p>
            <w:pPr>
              <w:bidi/>
              <w:jc w:val="right"/>
            </w:pPr>
            <w:r>
              <w:rPr>
                <w:rtl/>
                <w:sz w:val="21"/>
              </w:rPr>
              <w:t xml:space="preserve">RAG Service</w:t>
            </w:r>
          </w:p>
        </w:tc>
        <w:tc>
          <w:tcPr>
            <w:tcW w:w="3000" w:type="dxa"/>
          </w:tcPr>
          <w:p>
            <w:pPr>
              <w:bidi/>
              <w:jc w:val="right"/>
            </w:pPr>
            <w:r>
              <w:rPr>
                <w:rtl/>
                <w:sz w:val="21"/>
              </w:rPr>
              <w:t xml:space="preserve">src/ir_project/services/rag_service.py</w:t>
            </w:r>
          </w:p>
        </w:tc>
        <w:tc>
          <w:tcPr>
            <w:tcW w:w="3000" w:type="dxa"/>
          </w:tcPr>
          <w:p>
            <w:pPr>
              <w:bidi/>
              <w:jc w:val="right"/>
            </w:pPr>
            <w:r>
              <w:rPr>
                <w:rtl/>
                <w:sz w:val="21"/>
              </w:rPr>
              <w:t xml:space="preserve">بناء إجابة مؤرضة من الوثائق المسترجعة وإرجاع evidence وsources.</w:t>
            </w:r>
          </w:p>
        </w:tc>
      </w:tr>
      <w:tr>
        <w:tc>
          <w:tcPr>
            <w:tcW w:w="3000" w:type="dxa"/>
          </w:tcPr>
          <w:p>
            <w:pPr>
              <w:bidi/>
              <w:jc w:val="right"/>
            </w:pPr>
            <w:r>
              <w:rPr>
                <w:rtl/>
                <w:sz w:val="21"/>
              </w:rPr>
              <w:t xml:space="preserve">RAG Evaluation</w:t>
            </w:r>
          </w:p>
        </w:tc>
        <w:tc>
          <w:tcPr>
            <w:tcW w:w="3000" w:type="dxa"/>
          </w:tcPr>
          <w:p>
            <w:pPr>
              <w:bidi/>
              <w:jc w:val="right"/>
            </w:pPr>
            <w:r>
              <w:rPr>
                <w:rtl/>
                <w:sz w:val="21"/>
              </w:rPr>
              <w:t xml:space="preserve">src/ir_project/services/rag_evaluation_service.py</w:t>
            </w:r>
          </w:p>
        </w:tc>
        <w:tc>
          <w:tcPr>
            <w:tcW w:w="3000" w:type="dxa"/>
          </w:tcPr>
          <w:p>
            <w:pPr>
              <w:bidi/>
              <w:jc w:val="right"/>
            </w:pPr>
            <w:r>
              <w:rPr>
                <w:rtl/>
                <w:sz w:val="21"/>
              </w:rPr>
              <w:t xml:space="preserve">تقييم جودة مصادر RAG وcoverage وgroundedness.</w:t>
            </w:r>
          </w:p>
        </w:tc>
      </w:tr>
      <w:tr>
        <w:tc>
          <w:tcPr>
            <w:tcW w:w="3000" w:type="dxa"/>
          </w:tcPr>
          <w:p>
            <w:pPr>
              <w:bidi/>
              <w:jc w:val="right"/>
            </w:pPr>
            <w:r>
              <w:rPr>
                <w:rtl/>
                <w:sz w:val="21"/>
              </w:rPr>
              <w:t xml:space="preserve">Service Container</w:t>
            </w:r>
          </w:p>
        </w:tc>
        <w:tc>
          <w:tcPr>
            <w:tcW w:w="3000" w:type="dxa"/>
          </w:tcPr>
          <w:p>
            <w:pPr>
              <w:bidi/>
              <w:jc w:val="right"/>
            </w:pPr>
            <w:r>
              <w:rPr>
                <w:rtl/>
                <w:sz w:val="21"/>
              </w:rPr>
              <w:t xml:space="preserve">src/ir_project/services/service_container.py</w:t>
            </w:r>
          </w:p>
        </w:tc>
        <w:tc>
          <w:tcPr>
            <w:tcW w:w="3000" w:type="dxa"/>
          </w:tcPr>
          <w:p>
            <w:pPr>
              <w:bidi/>
              <w:jc w:val="right"/>
            </w:pPr>
            <w:r>
              <w:rPr>
                <w:rtl/>
                <w:sz w:val="21"/>
              </w:rPr>
              <w:t xml:space="preserve">تحميل الخدمات والفهرس وقاعدة البيانات مرة واحدة وربطها بالواجهة والـAPI.</w:t>
            </w:r>
          </w:p>
        </w:tc>
      </w:tr>
      <w:tr>
        <w:tc>
          <w:tcPr>
            <w:tcW w:w="3000" w:type="dxa"/>
          </w:tcPr>
          <w:p>
            <w:pPr>
              <w:bidi/>
              <w:jc w:val="right"/>
            </w:pPr>
            <w:r>
              <w:rPr>
                <w:rtl/>
                <w:sz w:val="21"/>
              </w:rPr>
              <w:t xml:space="preserve">Streamlit UI</w:t>
            </w:r>
          </w:p>
        </w:tc>
        <w:tc>
          <w:tcPr>
            <w:tcW w:w="3000" w:type="dxa"/>
          </w:tcPr>
          <w:p>
            <w:pPr>
              <w:bidi/>
              <w:jc w:val="right"/>
            </w:pPr>
            <w:r>
              <w:rPr>
                <w:rtl/>
                <w:sz w:val="21"/>
              </w:rPr>
              <w:t xml:space="preserve">app.py</w:t>
            </w:r>
          </w:p>
        </w:tc>
        <w:tc>
          <w:tcPr>
            <w:tcW w:w="3000" w:type="dxa"/>
          </w:tcPr>
          <w:p>
            <w:pPr>
              <w:bidi/>
              <w:jc w:val="right"/>
            </w:pPr>
            <w:r>
              <w:rPr>
                <w:rtl/>
                <w:sz w:val="21"/>
              </w:rPr>
              <w:t xml:space="preserve">واجهة البحث وRAG والتقييم وسجل البحث.</w:t>
            </w:r>
          </w:p>
        </w:tc>
      </w:tr>
      <w:tr>
        <w:tc>
          <w:tcPr>
            <w:tcW w:w="3000" w:type="dxa"/>
          </w:tcPr>
          <w:p>
            <w:pPr>
              <w:bidi/>
              <w:jc w:val="right"/>
            </w:pPr>
            <w:r>
              <w:rPr>
                <w:rtl/>
                <w:sz w:val="21"/>
              </w:rPr>
              <w:t xml:space="preserve">FastAPI Gateway</w:t>
            </w:r>
          </w:p>
        </w:tc>
        <w:tc>
          <w:tcPr>
            <w:tcW w:w="3000" w:type="dxa"/>
          </w:tcPr>
          <w:p>
            <w:pPr>
              <w:bidi/>
              <w:jc w:val="right"/>
            </w:pPr>
            <w:r>
              <w:rPr>
                <w:rtl/>
                <w:sz w:val="21"/>
              </w:rPr>
              <w:t xml:space="preserve">api.py</w:t>
            </w:r>
          </w:p>
        </w:tc>
        <w:tc>
          <w:tcPr>
            <w:tcW w:w="3000" w:type="dxa"/>
          </w:tcPr>
          <w:p>
            <w:pPr>
              <w:bidi/>
              <w:jc w:val="right"/>
            </w:pPr>
            <w:r>
              <w:rPr>
                <w:rtl/>
                <w:sz w:val="21"/>
              </w:rPr>
              <w:t xml:space="preserve">واجهات /health و/search و/rag و/metrics مع OpenAPI.</w:t>
            </w:r>
          </w:p>
        </w:tc>
      </w:tr>
    </w:tbl>
    <w:p>
      <w:pPr>
        <w:pStyle w:val="Heading1"/>
        <w:bidi/>
        <w:jc w:val="right"/>
      </w:pPr>
      <w:r>
        <w:rPr>
          <w:rtl/>
          <w:sz w:val="30"/>
          <w:b/>
        </w:rPr>
        <w:t xml:space="preserve">5. بنية النظام وفق SOA</w:t>
      </w:r>
    </w:p>
    <w:p>
      <w:pPr>
        <w:bidi/>
        <w:jc w:val="right"/>
      </w:pPr>
      <w:r>
        <w:rPr>
          <w:rtl/>
          <w:sz w:val="24"/>
        </w:rPr>
        <w:t xml:space="preserve">تم تقسيم النظام إلى خدمات مستقلة، بحيث تكون كل خدمة مسؤولة عن مهمة محددة. تتواصل الخدمات داخل التطبيق عبر ServiceContainer، بينما تتواصل الواجهة والـAPI مع خدمات الاسترجاع وRAG والتقييم دون تكرار تحميل الفهرس. هذا التصميم يحقق فصل المسؤوليات، قابلية الصيانة، وإمكانية اختبار الخدمات بشكل مستقل.</w:t>
      </w:r>
    </w:p>
    <w:p>
      <w:pPr>
        <w:jc w:val="left"/>
      </w:pPr>
      <w:r>
        <w:rPr>
          <w:rFonts w:ascii="Consolas" w:hAnsi="Consolas"/>
          <w:sz w:val="21"/>
        </w:rPr>
        <w:t xml:space="preserve">Dataset -&gt; Data Service -&gt; SQLite + Preprocessing -&gt; Indexing -&gt; Retrieval -&gt; UI/API/RAG -&gt; Evaluation</w:t>
      </w:r>
    </w:p>
    <w:p>
      <w:pPr>
        <w:bidi/>
        <w:jc w:val="right"/>
      </w:pPr>
      <w:r>
        <w:rPr>
          <w:rtl/>
          <w:sz w:val="24"/>
        </w:rPr>
        <w:t xml:space="preserve">تستخدم Streamlit UI وFastAPI Gateway نفس الطبقة الخدمية، لذلك يمكن تشغيل النظام من الواجهة أو من REST API أو من سطر الأوامر.</w:t>
      </w:r>
    </w:p>
    <w:p>
      <w:pPr>
        <w:pStyle w:val="Heading1"/>
        <w:bidi/>
        <w:jc w:val="right"/>
      </w:pPr>
      <w:r>
        <w:rPr>
          <w:rtl/>
          <w:sz w:val="30"/>
          <w:b/>
        </w:rPr>
        <w:t xml:space="preserve">6. نماذج الاسترجاع والتمثيل</w:t>
      </w:r>
    </w:p>
    <w:p>
      <w:pPr>
        <w:bidi/>
        <w:jc w:val="right"/>
      </w:pPr>
      <w:r>
        <w:rPr>
          <w:rtl/>
          <w:sz w:val="23"/>
        </w:rPr>
        <w:t xml:space="preserve">• TF-IDF: تمثيل Vector Space Model وحساب التشابه بين query والوثائق.</w:t>
      </w:r>
    </w:p>
    <w:p>
      <w:pPr>
        <w:bidi/>
        <w:jc w:val="right"/>
      </w:pPr>
      <w:r>
        <w:rPr>
          <w:rtl/>
          <w:sz w:val="23"/>
        </w:rPr>
        <w:t xml:space="preserve">• BM25: نموذج احتمالي يعتمد على تكرار الكلمة وندرتها وطول الوثيقة، مع k1 وb قابلين للتعديل من الواجهة.</w:t>
      </w:r>
    </w:p>
    <w:p>
      <w:pPr>
        <w:bidi/>
        <w:jc w:val="right"/>
      </w:pPr>
      <w:r>
        <w:rPr>
          <w:rtl/>
          <w:sz w:val="23"/>
        </w:rPr>
        <w:t xml:space="preserve">• LSA Embedding: استخدام TruncatedSVD لتحويل TF-IDF إلى تمثيل دلالي منخفض الأبعاد.</w:t>
      </w:r>
    </w:p>
    <w:p>
      <w:pPr>
        <w:bidi/>
        <w:jc w:val="right"/>
      </w:pPr>
      <w:r>
        <w:rPr>
          <w:rtl/>
          <w:sz w:val="23"/>
        </w:rPr>
        <w:t xml:space="preserve">• Hybrid Parallel: تشغيل TF-IDF وBM25 وEmbedding ودمج الدرجات باستخدام score fusion.</w:t>
      </w:r>
    </w:p>
    <w:p>
      <w:pPr>
        <w:bidi/>
        <w:jc w:val="right"/>
      </w:pPr>
      <w:r>
        <w:rPr>
          <w:rtl/>
          <w:sz w:val="23"/>
        </w:rPr>
        <w:t xml:space="preserve">• Hybrid Serial: استخدام BM25 لاختيار المرشحين ثم إعادة ترتيبهم باستخدام embedding.</w:t>
      </w:r>
    </w:p>
    <w:p>
      <w:pPr>
        <w:bidi/>
        <w:jc w:val="right"/>
      </w:pPr>
      <w:r>
        <w:rPr>
          <w:rtl/>
          <w:sz w:val="23"/>
        </w:rPr>
        <w:t xml:space="preserve">• BERT Reranking: استخدام Sentence-BERT لإعادة ترتيب أفضل مرشحي BM25 دلاليًا.</w:t>
      </w:r>
    </w:p>
    <w:p>
      <w:pPr>
        <w:pStyle w:val="Heading1"/>
        <w:bidi/>
        <w:jc w:val="right"/>
      </w:pPr>
      <w:r>
        <w:rPr>
          <w:rtl/>
          <w:sz w:val="30"/>
          <w:b/>
        </w:rPr>
        <w:t xml:space="preserve">7. Query Refinement وSearch History</w:t>
      </w:r>
    </w:p>
    <w:p>
      <w:pPr>
        <w:bidi/>
        <w:jc w:val="right"/>
      </w:pPr>
      <w:r>
        <w:rPr>
          <w:rtl/>
          <w:sz w:val="24"/>
        </w:rPr>
        <w:t xml:space="preserve">يدعم النظام Query Refinement عبر التصحيح الإملائي وإضافة المرادفات. كما تمت إضافة تحسين شخصي مبني على سجل البحث. تحفظ الواجهة آخر الاستعلامات داخل st.session_state، وتعرضها في الشريط الجانبي، وتقترح استعلامات سابقة مشابهة، كما تضيف كلمات مرتبطة من history إلى الاستعلام الحالي عند تفعيل Query Refinement وUse search history.</w:t>
      </w:r>
    </w:p>
    <w:p>
      <w:pPr>
        <w:bidi/>
        <w:jc w:val="right"/>
      </w:pPr>
      <w:r>
        <w:rPr>
          <w:rtl/>
          <w:sz w:val="23"/>
        </w:rPr>
        <w:t xml:space="preserve">• Search history داخل app.py باستخدام st.session_state.search_history.</w:t>
      </w:r>
    </w:p>
    <w:p>
      <w:pPr>
        <w:bidi/>
        <w:jc w:val="right"/>
      </w:pPr>
      <w:r>
        <w:rPr>
          <w:rtl/>
          <w:sz w:val="23"/>
        </w:rPr>
        <w:t xml:space="preserve">• اقتراحات مشابهة عبر suggest_from_history في query_refinement.py.</w:t>
      </w:r>
    </w:p>
    <w:p>
      <w:pPr>
        <w:bidi/>
        <w:jc w:val="right"/>
      </w:pPr>
      <w:r>
        <w:rPr>
          <w:rtl/>
          <w:sz w:val="23"/>
        </w:rPr>
        <w:t xml:space="preserve">• توسيع الاستعلام عبر history_expansion_terms في query_refinement.py.</w:t>
      </w:r>
    </w:p>
    <w:p>
      <w:pPr>
        <w:bidi/>
        <w:jc w:val="right"/>
      </w:pPr>
      <w:r>
        <w:rPr>
          <w:rtl/>
          <w:sz w:val="23"/>
        </w:rPr>
        <w:t xml:space="preserve">• تمرير history إلى RetrievalService وRagService حتى يستفيد البحث وRAG من سياق المستخدم.</w:t>
      </w:r>
    </w:p>
    <w:p>
      <w:pPr>
        <w:pStyle w:val="Heading1"/>
        <w:bidi/>
        <w:jc w:val="right"/>
      </w:pPr>
      <w:r>
        <w:rPr>
          <w:rtl/>
          <w:sz w:val="30"/>
          <w:b/>
        </w:rPr>
        <w:t xml:space="preserve">8. RAG Chat</w:t>
      </w:r>
    </w:p>
    <w:p>
      <w:pPr>
        <w:bidi/>
        <w:jc w:val="right"/>
      </w:pPr>
      <w:r>
        <w:rPr>
          <w:rtl/>
          <w:sz w:val="24"/>
        </w:rPr>
        <w:t xml:space="preserve">تم تنفيذ RAG بنمط Extractive Grounded RAG. يسترجع النظام الوثائق أولًا بالطريقة المختارة، ثم يقرأ النصوص الأصلية من SQLite، ويقسمها إلى جمل، ويختار أكثر الجمل ارتباطًا بكلمات السؤال. تعرض الإجابة citations مثل [1] و[2] و[3] مع قائمة مصادر تحتوي doc_id وscore وsnippet. هذا يقلل خطر توليد معلومات غير موجودة في المصادر.</w:t>
      </w:r>
    </w:p>
    <w:p>
      <w:pPr>
        <w:pStyle w:val="Heading1"/>
        <w:bidi/>
        <w:jc w:val="right"/>
      </w:pPr>
      <w:r>
        <w:rPr>
          <w:rtl/>
          <w:sz w:val="30"/>
          <w:b/>
        </w:rPr>
        <w:t xml:space="preserve">9. REST API ونسخة تنفيذية للاستعلام</w:t>
      </w:r>
    </w:p>
    <w:p>
      <w:pPr>
        <w:bidi/>
        <w:jc w:val="right"/>
      </w:pPr>
      <w:r>
        <w:rPr>
          <w:rtl/>
          <w:sz w:val="24"/>
        </w:rPr>
        <w:t xml:space="preserve">يوفر النظام FastAPI كـ API Gateway، ويمكن فتح التوثيق من الرابط:</w:t>
      </w:r>
    </w:p>
    <w:p>
      <w:pPr>
        <w:jc w:val="left"/>
      </w:pPr>
      <w:r>
        <w:rPr>
          <w:rFonts w:ascii="Consolas" w:hAnsi="Consolas"/>
          <w:sz w:val="21"/>
        </w:rPr>
        <w:t xml:space="preserve">http://127.0.0.1:8000/docs</w:t>
      </w:r>
    </w:p>
    <w:p>
      <w:pPr>
        <w:bidi/>
        <w:jc w:val="right"/>
      </w:pPr>
      <w:r>
        <w:rPr>
          <w:rtl/>
          <w:sz w:val="24"/>
        </w:rPr>
        <w:t xml:space="preserve">الواجهات المتوفرة:</w:t>
      </w:r>
    </w:p>
    <w:p>
      <w:pPr>
        <w:bidi/>
        <w:jc w:val="right"/>
      </w:pPr>
      <w:r>
        <w:rPr>
          <w:rtl/>
          <w:sz w:val="23"/>
        </w:rPr>
        <w:t xml:space="preserve">• /health للتحقق من حالة النظام وDataset وعدد الوثائق.</w:t>
      </w:r>
    </w:p>
    <w:p>
      <w:pPr>
        <w:bidi/>
        <w:jc w:val="right"/>
      </w:pPr>
      <w:r>
        <w:rPr>
          <w:rtl/>
          <w:sz w:val="23"/>
        </w:rPr>
        <w:t xml:space="preserve">• /search لتنفيذ بحث وإرجاع الوثائق المرتبة.</w:t>
      </w:r>
    </w:p>
    <w:p>
      <w:pPr>
        <w:bidi/>
        <w:jc w:val="right"/>
      </w:pPr>
      <w:r>
        <w:rPr>
          <w:rtl/>
          <w:sz w:val="23"/>
        </w:rPr>
        <w:t xml:space="preserve">• /rag للحصول على إجابة مؤرضة ومصادر.</w:t>
      </w:r>
    </w:p>
    <w:p>
      <w:pPr>
        <w:bidi/>
        <w:jc w:val="right"/>
      </w:pPr>
      <w:r>
        <w:rPr>
          <w:rtl/>
          <w:sz w:val="23"/>
        </w:rPr>
        <w:t xml:space="preserve">• /metrics لقراءة ملفات التقييم.</w:t>
      </w:r>
    </w:p>
    <w:p>
      <w:pPr>
        <w:bidi/>
        <w:jc w:val="right"/>
      </w:pPr>
      <w:r>
        <w:rPr>
          <w:rtl/>
          <w:sz w:val="24"/>
        </w:rPr>
        <w:t xml:space="preserve">كما توجد نسخة تنفيذية من محرك البحث عبر CLI:</w:t>
      </w:r>
    </w:p>
    <w:p>
      <w:pPr>
        <w:jc w:val="left"/>
      </w:pPr>
      <w:r>
        <w:rPr>
          <w:rFonts w:ascii="Consolas" w:hAnsi="Consolas"/>
          <w:sz w:val="21"/>
        </w:rPr>
        <w:t xml:space="preserve">.\.venv\Scripts\python.exe scripts\search.py "lung cancer EGFR adult" --method bm25 --top-k 5</w:t>
      </w:r>
    </w:p>
    <w:p>
      <w:pPr>
        <w:pStyle w:val="Heading1"/>
        <w:bidi/>
        <w:jc w:val="right"/>
      </w:pPr>
      <w:r>
        <w:rPr>
          <w:rtl/>
          <w:sz w:val="30"/>
          <w:b/>
        </w:rPr>
        <w:t xml:space="preserve">10. نتائج التقييم</w:t>
      </w:r>
    </w:p>
    <w:p>
      <w:pPr>
        <w:bidi/>
        <w:jc w:val="right"/>
      </w:pPr>
      <w:r>
        <w:rPr>
          <w:rtl/>
          <w:sz w:val="24"/>
        </w:rPr>
        <w:t xml:space="preserve">تم التقييم باستخدام qrels الرسمية وحساب MAP وnDCG وPrecision وRecall.</w:t>
      </w:r>
    </w:p>
    <w:p>
      <w:pPr>
        <w:bidi/>
        <w:jc w:val="right"/>
      </w:pPr>
      <w:r>
        <w:rPr>
          <w:rtl/>
          <w:sz w:val="26"/>
          <w:b/>
        </w:rPr>
        <w:t xml:space="preserve">10.1 تقييم النماذج الأساسية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pPr>
              <w:bidi/>
              <w:jc w:val="right"/>
            </w:pPr>
            <w:r>
              <w:rPr>
                <w:rtl/>
                <w:sz w:val="21"/>
                <w:b/>
              </w:rPr>
              <w:t xml:space="preserve">Method</w:t>
            </w:r>
          </w:p>
        </w:tc>
        <w:tc>
          <w:tcPr>
            <w:tcW w:w="1800" w:type="dxa"/>
          </w:tcPr>
          <w:p>
            <w:pPr>
              <w:bidi/>
              <w:jc w:val="right"/>
            </w:pPr>
            <w:r>
              <w:rPr>
                <w:rtl/>
                <w:sz w:val="21"/>
                <w:b/>
              </w:rPr>
              <w:t xml:space="preserve">MAP@1000</w:t>
            </w:r>
          </w:p>
        </w:tc>
        <w:tc>
          <w:tcPr>
            <w:tcW w:w="1800" w:type="dxa"/>
          </w:tcPr>
          <w:p>
            <w:pPr>
              <w:bidi/>
              <w:jc w:val="right"/>
            </w:pPr>
            <w:r>
              <w:rPr>
                <w:rtl/>
                <w:sz w:val="21"/>
                <w:b/>
              </w:rPr>
              <w:t xml:space="preserve">nDCG@10</w:t>
            </w:r>
          </w:p>
        </w:tc>
        <w:tc>
          <w:tcPr>
            <w:tcW w:w="1800" w:type="dxa"/>
          </w:tcPr>
          <w:p>
            <w:pPr>
              <w:bidi/>
              <w:jc w:val="right"/>
            </w:pPr>
            <w:r>
              <w:rPr>
                <w:rtl/>
                <w:sz w:val="21"/>
                <w:b/>
              </w:rPr>
              <w:t xml:space="preserve">P@10</w:t>
            </w:r>
          </w:p>
        </w:tc>
        <w:tc>
          <w:tcPr>
            <w:tcW w:w="1800" w:type="dxa"/>
          </w:tcPr>
          <w:p>
            <w:pPr>
              <w:bidi/>
              <w:jc w:val="right"/>
            </w:pPr>
            <w:r>
              <w:rPr>
                <w:rtl/>
                <w:sz w:val="21"/>
                <w:b/>
              </w:rPr>
              <w:t xml:space="preserve">Recall@1000</w:t>
            </w:r>
          </w:p>
        </w:tc>
      </w:tr>
      <w:tr>
        <w:tc>
          <w:tcPr>
            <w:tcW w:w="1800" w:type="dxa"/>
          </w:tcPr>
          <w:p>
            <w:pPr>
              <w:bidi/>
              <w:jc w:val="right"/>
            </w:pPr>
            <w:r>
              <w:rPr>
                <w:rtl/>
                <w:sz w:val="21"/>
              </w:rPr>
              <w:t xml:space="preserve">tfidf</w:t>
            </w:r>
          </w:p>
        </w:tc>
        <w:tc>
          <w:tcPr>
            <w:tcW w:w="1800" w:type="dxa"/>
          </w:tcPr>
          <w:p>
            <w:pPr>
              <w:bidi/>
              <w:jc w:val="right"/>
            </w:pPr>
            <w:r>
              <w:rPr>
                <w:rtl/>
                <w:sz w:val="21"/>
              </w:rPr>
              <w:t xml:space="preserve">0.0912</w:t>
            </w:r>
          </w:p>
        </w:tc>
        <w:tc>
          <w:tcPr>
            <w:tcW w:w="1800" w:type="dxa"/>
          </w:tcPr>
          <w:p>
            <w:pPr>
              <w:bidi/>
              <w:jc w:val="right"/>
            </w:pPr>
            <w:r>
              <w:rPr>
                <w:rtl/>
                <w:sz w:val="21"/>
              </w:rPr>
              <w:t xml:space="preserve">0.1259</w:t>
            </w:r>
          </w:p>
        </w:tc>
        <w:tc>
          <w:tcPr>
            <w:tcW w:w="1800" w:type="dxa"/>
          </w:tcPr>
          <w:p>
            <w:pPr>
              <w:bidi/>
              <w:jc w:val="right"/>
            </w:pPr>
            <w:r>
              <w:rPr>
                <w:rtl/>
                <w:sz w:val="21"/>
              </w:rPr>
              <w:t xml:space="preserve">0.1621</w:t>
            </w:r>
          </w:p>
        </w:tc>
        <w:tc>
          <w:tcPr>
            <w:tcW w:w="1800" w:type="dxa"/>
          </w:tcPr>
          <w:p>
            <w:pPr>
              <w:bidi/>
              <w:jc w:val="right"/>
            </w:pPr>
            <w:r>
              <w:rPr>
                <w:rtl/>
                <w:sz w:val="21"/>
              </w:rPr>
              <w:t xml:space="preserve">0.5902</w:t>
            </w:r>
          </w:p>
        </w:tc>
      </w:tr>
      <w:tr>
        <w:tc>
          <w:tcPr>
            <w:tcW w:w="1800" w:type="dxa"/>
          </w:tcPr>
          <w:p>
            <w:pPr>
              <w:bidi/>
              <w:jc w:val="right"/>
            </w:pPr>
            <w:r>
              <w:rPr>
                <w:rtl/>
                <w:sz w:val="21"/>
              </w:rPr>
              <w:t xml:space="preserve">bm25</w:t>
            </w:r>
          </w:p>
        </w:tc>
        <w:tc>
          <w:tcPr>
            <w:tcW w:w="1800" w:type="dxa"/>
          </w:tcPr>
          <w:p>
            <w:pPr>
              <w:bidi/>
              <w:jc w:val="right"/>
            </w:pPr>
            <w:r>
              <w:rPr>
                <w:rtl/>
                <w:sz w:val="21"/>
              </w:rPr>
              <w:t xml:space="preserve">0.1921</w:t>
            </w:r>
          </w:p>
        </w:tc>
        <w:tc>
          <w:tcPr>
            <w:tcW w:w="1800" w:type="dxa"/>
          </w:tcPr>
          <w:p>
            <w:pPr>
              <w:bidi/>
              <w:jc w:val="right"/>
            </w:pPr>
            <w:r>
              <w:rPr>
                <w:rtl/>
                <w:sz w:val="21"/>
              </w:rPr>
              <w:t xml:space="preserve">0.2892</w:t>
            </w:r>
          </w:p>
        </w:tc>
        <w:tc>
          <w:tcPr>
            <w:tcW w:w="1800" w:type="dxa"/>
          </w:tcPr>
          <w:p>
            <w:pPr>
              <w:bidi/>
              <w:jc w:val="right"/>
            </w:pPr>
            <w:r>
              <w:rPr>
                <w:rtl/>
                <w:sz w:val="21"/>
              </w:rPr>
              <w:t xml:space="preserve">0.3000</w:t>
            </w:r>
          </w:p>
        </w:tc>
        <w:tc>
          <w:tcPr>
            <w:tcW w:w="1800" w:type="dxa"/>
          </w:tcPr>
          <w:p>
            <w:pPr>
              <w:bidi/>
              <w:jc w:val="right"/>
            </w:pPr>
            <w:r>
              <w:rPr>
                <w:rtl/>
                <w:sz w:val="21"/>
              </w:rPr>
              <w:t xml:space="preserve">0.6787</w:t>
            </w:r>
          </w:p>
        </w:tc>
      </w:tr>
      <w:tr>
        <w:tc>
          <w:tcPr>
            <w:tcW w:w="1800" w:type="dxa"/>
          </w:tcPr>
          <w:p>
            <w:pPr>
              <w:bidi/>
              <w:jc w:val="right"/>
            </w:pPr>
            <w:r>
              <w:rPr>
                <w:rtl/>
                <w:sz w:val="21"/>
              </w:rPr>
              <w:t xml:space="preserve">embedding</w:t>
            </w:r>
          </w:p>
        </w:tc>
        <w:tc>
          <w:tcPr>
            <w:tcW w:w="1800" w:type="dxa"/>
          </w:tcPr>
          <w:p>
            <w:pPr>
              <w:bidi/>
              <w:jc w:val="right"/>
            </w:pPr>
            <w:r>
              <w:rPr>
                <w:rtl/>
                <w:sz w:val="21"/>
              </w:rPr>
              <w:t xml:space="preserve">0.0013</w:t>
            </w:r>
          </w:p>
        </w:tc>
        <w:tc>
          <w:tcPr>
            <w:tcW w:w="1800" w:type="dxa"/>
          </w:tcPr>
          <w:p>
            <w:pPr>
              <w:bidi/>
              <w:jc w:val="right"/>
            </w:pPr>
            <w:r>
              <w:rPr>
                <w:rtl/>
                <w:sz w:val="21"/>
              </w:rPr>
              <w:t xml:space="preserve">0.0045</w:t>
            </w:r>
          </w:p>
        </w:tc>
        <w:tc>
          <w:tcPr>
            <w:tcW w:w="1800" w:type="dxa"/>
          </w:tcPr>
          <w:p>
            <w:pPr>
              <w:bidi/>
              <w:jc w:val="right"/>
            </w:pPr>
            <w:r>
              <w:rPr>
                <w:rtl/>
                <w:sz w:val="21"/>
              </w:rPr>
              <w:t xml:space="preserve">0.0138</w:t>
            </w:r>
          </w:p>
        </w:tc>
        <w:tc>
          <w:tcPr>
            <w:tcW w:w="1800" w:type="dxa"/>
          </w:tcPr>
          <w:p>
            <w:pPr>
              <w:bidi/>
              <w:jc w:val="right"/>
            </w:pPr>
            <w:r>
              <w:rPr>
                <w:rtl/>
                <w:sz w:val="21"/>
              </w:rPr>
              <w:t xml:space="preserve">0.0763</w:t>
            </w:r>
          </w:p>
        </w:tc>
      </w:tr>
      <w:tr>
        <w:tc>
          <w:tcPr>
            <w:tcW w:w="1800" w:type="dxa"/>
          </w:tcPr>
          <w:p>
            <w:pPr>
              <w:bidi/>
              <w:jc w:val="right"/>
            </w:pPr>
            <w:r>
              <w:rPr>
                <w:rtl/>
                <w:sz w:val="21"/>
              </w:rPr>
              <w:t xml:space="preserve">hybrid_parallel</w:t>
            </w:r>
          </w:p>
        </w:tc>
        <w:tc>
          <w:tcPr>
            <w:tcW w:w="1800" w:type="dxa"/>
          </w:tcPr>
          <w:p>
            <w:pPr>
              <w:bidi/>
              <w:jc w:val="right"/>
            </w:pPr>
            <w:r>
              <w:rPr>
                <w:rtl/>
                <w:sz w:val="21"/>
              </w:rPr>
              <w:t xml:space="preserve">0.1476</w:t>
            </w:r>
          </w:p>
        </w:tc>
        <w:tc>
          <w:tcPr>
            <w:tcW w:w="1800" w:type="dxa"/>
          </w:tcPr>
          <w:p>
            <w:pPr>
              <w:bidi/>
              <w:jc w:val="right"/>
            </w:pPr>
            <w:r>
              <w:rPr>
                <w:rtl/>
                <w:sz w:val="21"/>
              </w:rPr>
              <w:t xml:space="preserve">0.2292</w:t>
            </w:r>
          </w:p>
        </w:tc>
        <w:tc>
          <w:tcPr>
            <w:tcW w:w="1800" w:type="dxa"/>
          </w:tcPr>
          <w:p>
            <w:pPr>
              <w:bidi/>
              <w:jc w:val="right"/>
            </w:pPr>
            <w:r>
              <w:rPr>
                <w:rtl/>
                <w:sz w:val="21"/>
              </w:rPr>
              <w:t xml:space="preserve">0.2345</w:t>
            </w:r>
          </w:p>
        </w:tc>
        <w:tc>
          <w:tcPr>
            <w:tcW w:w="1800" w:type="dxa"/>
          </w:tcPr>
          <w:p>
            <w:pPr>
              <w:bidi/>
              <w:jc w:val="right"/>
            </w:pPr>
            <w:r>
              <w:rPr>
                <w:rtl/>
                <w:sz w:val="21"/>
              </w:rPr>
              <w:t xml:space="preserve">0.6086</w:t>
            </w:r>
          </w:p>
        </w:tc>
      </w:tr>
      <w:tr>
        <w:tc>
          <w:tcPr>
            <w:tcW w:w="1800" w:type="dxa"/>
          </w:tcPr>
          <w:p>
            <w:pPr>
              <w:bidi/>
              <w:jc w:val="right"/>
            </w:pPr>
            <w:r>
              <w:rPr>
                <w:rtl/>
                <w:sz w:val="21"/>
              </w:rPr>
              <w:t xml:space="preserve">hybrid_serial</w:t>
            </w:r>
          </w:p>
        </w:tc>
        <w:tc>
          <w:tcPr>
            <w:tcW w:w="1800" w:type="dxa"/>
          </w:tcPr>
          <w:p>
            <w:pPr>
              <w:bidi/>
              <w:jc w:val="right"/>
            </w:pPr>
            <w:r>
              <w:rPr>
                <w:rtl/>
                <w:sz w:val="21"/>
              </w:rPr>
              <w:t xml:space="preserve">0.1770</w:t>
            </w:r>
          </w:p>
        </w:tc>
        <w:tc>
          <w:tcPr>
            <w:tcW w:w="1800" w:type="dxa"/>
          </w:tcPr>
          <w:p>
            <w:pPr>
              <w:bidi/>
              <w:jc w:val="right"/>
            </w:pPr>
            <w:r>
              <w:rPr>
                <w:rtl/>
                <w:sz w:val="21"/>
              </w:rPr>
              <w:t xml:space="preserve">0.2948</w:t>
            </w:r>
          </w:p>
        </w:tc>
        <w:tc>
          <w:tcPr>
            <w:tcW w:w="1800" w:type="dxa"/>
          </w:tcPr>
          <w:p>
            <w:pPr>
              <w:bidi/>
              <w:jc w:val="right"/>
            </w:pPr>
            <w:r>
              <w:rPr>
                <w:rtl/>
                <w:sz w:val="21"/>
              </w:rPr>
              <w:t xml:space="preserve">0.2862</w:t>
            </w:r>
          </w:p>
        </w:tc>
        <w:tc>
          <w:tcPr>
            <w:tcW w:w="1800" w:type="dxa"/>
          </w:tcPr>
          <w:p>
            <w:pPr>
              <w:bidi/>
              <w:jc w:val="right"/>
            </w:pPr>
            <w:r>
              <w:rPr>
                <w:rtl/>
                <w:sz w:val="21"/>
              </w:rPr>
              <w:t xml:space="preserve">0.6468</w:t>
            </w:r>
          </w:p>
        </w:tc>
      </w:tr>
    </w:tbl>
    <w:p>
      <w:pPr>
        <w:bidi/>
        <w:jc w:val="right"/>
      </w:pPr>
      <w:r>
        <w:rPr>
          <w:rtl/>
          <w:sz w:val="24"/>
        </w:rPr>
        <w:t xml:space="preserve">تظهر النتائج أن BM25 حقق أفضل MAP@1000 وأفضل Recall@1000، بينما حقق Hybrid Serial أفضل nDCG@10. هذا منطقي لأن المصطلحات الطبية الدقيقة تستفيد من المطابقة النصية القوية في BM25.</w:t>
      </w:r>
    </w:p>
    <w:p>
      <w:pPr>
        <w:bidi/>
        <w:jc w:val="right"/>
      </w:pPr>
      <w:r>
        <w:rPr>
          <w:rtl/>
          <w:sz w:val="26"/>
          <w:b/>
        </w:rPr>
        <w:t xml:space="preserve">10.2 تقييم Query Refinement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pPr>
              <w:bidi/>
              <w:jc w:val="right"/>
            </w:pPr>
            <w:r>
              <w:rPr>
                <w:rtl/>
                <w:sz w:val="21"/>
                <w:b/>
              </w:rPr>
              <w:t xml:space="preserve">Method</w:t>
            </w:r>
          </w:p>
        </w:tc>
        <w:tc>
          <w:tcPr>
            <w:tcW w:w="1800" w:type="dxa"/>
          </w:tcPr>
          <w:p>
            <w:pPr>
              <w:bidi/>
              <w:jc w:val="right"/>
            </w:pPr>
            <w:r>
              <w:rPr>
                <w:rtl/>
                <w:sz w:val="21"/>
                <w:b/>
              </w:rPr>
              <w:t xml:space="preserve">MAP@1000</w:t>
            </w:r>
          </w:p>
        </w:tc>
        <w:tc>
          <w:tcPr>
            <w:tcW w:w="1800" w:type="dxa"/>
          </w:tcPr>
          <w:p>
            <w:pPr>
              <w:bidi/>
              <w:jc w:val="right"/>
            </w:pPr>
            <w:r>
              <w:rPr>
                <w:rtl/>
                <w:sz w:val="21"/>
                <w:b/>
              </w:rPr>
              <w:t xml:space="preserve">nDCG@10</w:t>
            </w:r>
          </w:p>
        </w:tc>
        <w:tc>
          <w:tcPr>
            <w:tcW w:w="1800" w:type="dxa"/>
          </w:tcPr>
          <w:p>
            <w:pPr>
              <w:bidi/>
              <w:jc w:val="right"/>
            </w:pPr>
            <w:r>
              <w:rPr>
                <w:rtl/>
                <w:sz w:val="21"/>
                <w:b/>
              </w:rPr>
              <w:t xml:space="preserve">P@10</w:t>
            </w:r>
          </w:p>
        </w:tc>
        <w:tc>
          <w:tcPr>
            <w:tcW w:w="1800" w:type="dxa"/>
          </w:tcPr>
          <w:p>
            <w:pPr>
              <w:bidi/>
              <w:jc w:val="right"/>
            </w:pPr>
            <w:r>
              <w:rPr>
                <w:rtl/>
                <w:sz w:val="21"/>
                <w:b/>
              </w:rPr>
              <w:t xml:space="preserve">Recall@1000</w:t>
            </w:r>
          </w:p>
        </w:tc>
      </w:tr>
      <w:tr>
        <w:tc>
          <w:tcPr>
            <w:tcW w:w="1800" w:type="dxa"/>
          </w:tcPr>
          <w:p>
            <w:pPr>
              <w:bidi/>
              <w:jc w:val="right"/>
            </w:pPr>
            <w:r>
              <w:rPr>
                <w:rtl/>
                <w:sz w:val="21"/>
              </w:rPr>
              <w:t xml:space="preserve">tfidf</w:t>
            </w:r>
          </w:p>
        </w:tc>
        <w:tc>
          <w:tcPr>
            <w:tcW w:w="1800" w:type="dxa"/>
          </w:tcPr>
          <w:p>
            <w:pPr>
              <w:bidi/>
              <w:jc w:val="right"/>
            </w:pPr>
            <w:r>
              <w:rPr>
                <w:rtl/>
                <w:sz w:val="21"/>
              </w:rPr>
              <w:t xml:space="preserve">0.0910</w:t>
            </w:r>
          </w:p>
        </w:tc>
        <w:tc>
          <w:tcPr>
            <w:tcW w:w="1800" w:type="dxa"/>
          </w:tcPr>
          <w:p>
            <w:pPr>
              <w:bidi/>
              <w:jc w:val="right"/>
            </w:pPr>
            <w:r>
              <w:rPr>
                <w:rtl/>
                <w:sz w:val="21"/>
              </w:rPr>
              <w:t xml:space="preserve">0.1350</w:t>
            </w:r>
          </w:p>
        </w:tc>
        <w:tc>
          <w:tcPr>
            <w:tcW w:w="1800" w:type="dxa"/>
          </w:tcPr>
          <w:p>
            <w:pPr>
              <w:bidi/>
              <w:jc w:val="right"/>
            </w:pPr>
            <w:r>
              <w:rPr>
                <w:rtl/>
                <w:sz w:val="21"/>
              </w:rPr>
              <w:t xml:space="preserve">0.1724</w:t>
            </w:r>
          </w:p>
        </w:tc>
        <w:tc>
          <w:tcPr>
            <w:tcW w:w="1800" w:type="dxa"/>
          </w:tcPr>
          <w:p>
            <w:pPr>
              <w:bidi/>
              <w:jc w:val="right"/>
            </w:pPr>
            <w:r>
              <w:rPr>
                <w:rtl/>
                <w:sz w:val="21"/>
              </w:rPr>
              <w:t xml:space="preserve">0.5794</w:t>
            </w:r>
          </w:p>
        </w:tc>
      </w:tr>
      <w:tr>
        <w:tc>
          <w:tcPr>
            <w:tcW w:w="1800" w:type="dxa"/>
          </w:tcPr>
          <w:p>
            <w:pPr>
              <w:bidi/>
              <w:jc w:val="right"/>
            </w:pPr>
            <w:r>
              <w:rPr>
                <w:rtl/>
                <w:sz w:val="21"/>
              </w:rPr>
              <w:t xml:space="preserve">bm25</w:t>
            </w:r>
          </w:p>
        </w:tc>
        <w:tc>
          <w:tcPr>
            <w:tcW w:w="1800" w:type="dxa"/>
          </w:tcPr>
          <w:p>
            <w:pPr>
              <w:bidi/>
              <w:jc w:val="right"/>
            </w:pPr>
            <w:r>
              <w:rPr>
                <w:rtl/>
                <w:sz w:val="21"/>
              </w:rPr>
              <w:t xml:space="preserve">0.1766</w:t>
            </w:r>
          </w:p>
        </w:tc>
        <w:tc>
          <w:tcPr>
            <w:tcW w:w="1800" w:type="dxa"/>
          </w:tcPr>
          <w:p>
            <w:pPr>
              <w:bidi/>
              <w:jc w:val="right"/>
            </w:pPr>
            <w:r>
              <w:rPr>
                <w:rtl/>
                <w:sz w:val="21"/>
              </w:rPr>
              <w:t xml:space="preserve">0.2742</w:t>
            </w:r>
          </w:p>
        </w:tc>
        <w:tc>
          <w:tcPr>
            <w:tcW w:w="1800" w:type="dxa"/>
          </w:tcPr>
          <w:p>
            <w:pPr>
              <w:bidi/>
              <w:jc w:val="right"/>
            </w:pPr>
            <w:r>
              <w:rPr>
                <w:rtl/>
                <w:sz w:val="21"/>
              </w:rPr>
              <w:t xml:space="preserve">0.3034</w:t>
            </w:r>
          </w:p>
        </w:tc>
        <w:tc>
          <w:tcPr>
            <w:tcW w:w="1800" w:type="dxa"/>
          </w:tcPr>
          <w:p>
            <w:pPr>
              <w:bidi/>
              <w:jc w:val="right"/>
            </w:pPr>
            <w:r>
              <w:rPr>
                <w:rtl/>
                <w:sz w:val="21"/>
              </w:rPr>
              <w:t xml:space="preserve">0.6494</w:t>
            </w:r>
          </w:p>
        </w:tc>
      </w:tr>
      <w:tr>
        <w:tc>
          <w:tcPr>
            <w:tcW w:w="1800" w:type="dxa"/>
          </w:tcPr>
          <w:p>
            <w:pPr>
              <w:bidi/>
              <w:jc w:val="right"/>
            </w:pPr>
            <w:r>
              <w:rPr>
                <w:rtl/>
                <w:sz w:val="21"/>
              </w:rPr>
              <w:t xml:space="preserve">embedding</w:t>
            </w:r>
          </w:p>
        </w:tc>
        <w:tc>
          <w:tcPr>
            <w:tcW w:w="1800" w:type="dxa"/>
          </w:tcPr>
          <w:p>
            <w:pPr>
              <w:bidi/>
              <w:jc w:val="right"/>
            </w:pPr>
            <w:r>
              <w:rPr>
                <w:rtl/>
                <w:sz w:val="21"/>
              </w:rPr>
              <w:t xml:space="preserve">0.0019</w:t>
            </w:r>
          </w:p>
        </w:tc>
        <w:tc>
          <w:tcPr>
            <w:tcW w:w="1800" w:type="dxa"/>
          </w:tcPr>
          <w:p>
            <w:pPr>
              <w:bidi/>
              <w:jc w:val="right"/>
            </w:pPr>
            <w:r>
              <w:rPr>
                <w:rtl/>
                <w:sz w:val="21"/>
              </w:rPr>
              <w:t xml:space="preserve">0.0037</w:t>
            </w:r>
          </w:p>
        </w:tc>
        <w:tc>
          <w:tcPr>
            <w:tcW w:w="1800" w:type="dxa"/>
          </w:tcPr>
          <w:p>
            <w:pPr>
              <w:bidi/>
              <w:jc w:val="right"/>
            </w:pPr>
            <w:r>
              <w:rPr>
                <w:rtl/>
                <w:sz w:val="21"/>
              </w:rPr>
              <w:t xml:space="preserve">0.0103</w:t>
            </w:r>
          </w:p>
        </w:tc>
        <w:tc>
          <w:tcPr>
            <w:tcW w:w="1800" w:type="dxa"/>
          </w:tcPr>
          <w:p>
            <w:pPr>
              <w:bidi/>
              <w:jc w:val="right"/>
            </w:pPr>
            <w:r>
              <w:rPr>
                <w:rtl/>
                <w:sz w:val="21"/>
              </w:rPr>
              <w:t xml:space="preserve">0.1237</w:t>
            </w:r>
          </w:p>
        </w:tc>
      </w:tr>
      <w:tr>
        <w:tc>
          <w:tcPr>
            <w:tcW w:w="1800" w:type="dxa"/>
          </w:tcPr>
          <w:p>
            <w:pPr>
              <w:bidi/>
              <w:jc w:val="right"/>
            </w:pPr>
            <w:r>
              <w:rPr>
                <w:rtl/>
                <w:sz w:val="21"/>
              </w:rPr>
              <w:t xml:space="preserve">hybrid_parallel</w:t>
            </w:r>
          </w:p>
        </w:tc>
        <w:tc>
          <w:tcPr>
            <w:tcW w:w="1800" w:type="dxa"/>
          </w:tcPr>
          <w:p>
            <w:pPr>
              <w:bidi/>
              <w:jc w:val="right"/>
            </w:pPr>
            <w:r>
              <w:rPr>
                <w:rtl/>
                <w:sz w:val="21"/>
              </w:rPr>
              <w:t xml:space="preserve">0.1430</w:t>
            </w:r>
          </w:p>
        </w:tc>
        <w:tc>
          <w:tcPr>
            <w:tcW w:w="1800" w:type="dxa"/>
          </w:tcPr>
          <w:p>
            <w:pPr>
              <w:bidi/>
              <w:jc w:val="right"/>
            </w:pPr>
            <w:r>
              <w:rPr>
                <w:rtl/>
                <w:sz w:val="21"/>
              </w:rPr>
              <w:t xml:space="preserve">0.2324</w:t>
            </w:r>
          </w:p>
        </w:tc>
        <w:tc>
          <w:tcPr>
            <w:tcW w:w="1800" w:type="dxa"/>
          </w:tcPr>
          <w:p>
            <w:pPr>
              <w:bidi/>
              <w:jc w:val="right"/>
            </w:pPr>
            <w:r>
              <w:rPr>
                <w:rtl/>
                <w:sz w:val="21"/>
              </w:rPr>
              <w:t xml:space="preserve">0.2310</w:t>
            </w:r>
          </w:p>
        </w:tc>
        <w:tc>
          <w:tcPr>
            <w:tcW w:w="1800" w:type="dxa"/>
          </w:tcPr>
          <w:p>
            <w:pPr>
              <w:bidi/>
              <w:jc w:val="right"/>
            </w:pPr>
            <w:r>
              <w:rPr>
                <w:rtl/>
                <w:sz w:val="21"/>
              </w:rPr>
              <w:t xml:space="preserve">0.6007</w:t>
            </w:r>
          </w:p>
        </w:tc>
      </w:tr>
      <w:tr>
        <w:tc>
          <w:tcPr>
            <w:tcW w:w="1800" w:type="dxa"/>
          </w:tcPr>
          <w:p>
            <w:pPr>
              <w:bidi/>
              <w:jc w:val="right"/>
            </w:pPr>
            <w:r>
              <w:rPr>
                <w:rtl/>
                <w:sz w:val="21"/>
              </w:rPr>
              <w:t xml:space="preserve">hybrid_serial</w:t>
            </w:r>
          </w:p>
        </w:tc>
        <w:tc>
          <w:tcPr>
            <w:tcW w:w="1800" w:type="dxa"/>
          </w:tcPr>
          <w:p>
            <w:pPr>
              <w:bidi/>
              <w:jc w:val="right"/>
            </w:pPr>
            <w:r>
              <w:rPr>
                <w:rtl/>
                <w:sz w:val="21"/>
              </w:rPr>
              <w:t xml:space="preserve">0.1640</w:t>
            </w:r>
          </w:p>
        </w:tc>
        <w:tc>
          <w:tcPr>
            <w:tcW w:w="1800" w:type="dxa"/>
          </w:tcPr>
          <w:p>
            <w:pPr>
              <w:bidi/>
              <w:jc w:val="right"/>
            </w:pPr>
            <w:r>
              <w:rPr>
                <w:rtl/>
                <w:sz w:val="21"/>
              </w:rPr>
              <w:t xml:space="preserve">0.2786</w:t>
            </w:r>
          </w:p>
        </w:tc>
        <w:tc>
          <w:tcPr>
            <w:tcW w:w="1800" w:type="dxa"/>
          </w:tcPr>
          <w:p>
            <w:pPr>
              <w:bidi/>
              <w:jc w:val="right"/>
            </w:pPr>
            <w:r>
              <w:rPr>
                <w:rtl/>
                <w:sz w:val="21"/>
              </w:rPr>
              <w:t xml:space="preserve">0.2793</w:t>
            </w:r>
          </w:p>
        </w:tc>
        <w:tc>
          <w:tcPr>
            <w:tcW w:w="1800" w:type="dxa"/>
          </w:tcPr>
          <w:p>
            <w:pPr>
              <w:bidi/>
              <w:jc w:val="right"/>
            </w:pPr>
            <w:r>
              <w:rPr>
                <w:rtl/>
                <w:sz w:val="21"/>
              </w:rPr>
              <w:t xml:space="preserve">0.6390</w:t>
            </w:r>
          </w:p>
        </w:tc>
      </w:tr>
    </w:tbl>
    <w:p>
      <w:pPr>
        <w:bidi/>
        <w:jc w:val="right"/>
      </w:pPr>
      <w:r>
        <w:rPr>
          <w:rtl/>
          <w:sz w:val="24"/>
        </w:rPr>
        <w:t xml:space="preserve">حسن Query Refinement بعض المقاييس مثل Precision@10 في BM25، لكنه قد يخفض MAP أو Recall في بعض الحالات بسبب إضافة مرادفات عامة قد تضيف ضجيجًا لاستعلامات طبية دقيقة، لذلك جعلناه اختياريًا في الواجهة.</w:t>
      </w:r>
    </w:p>
    <w:p>
      <w:pPr>
        <w:bidi/>
        <w:jc w:val="right"/>
      </w:pPr>
      <w:r>
        <w:rPr>
          <w:rtl/>
          <w:sz w:val="26"/>
          <w:b/>
        </w:rPr>
        <w:t xml:space="preserve">10.3 تقييم BERT reranking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pPr>
              <w:bidi/>
              <w:jc w:val="right"/>
            </w:pPr>
            <w:r>
              <w:rPr>
                <w:rtl/>
                <w:sz w:val="21"/>
                <w:b/>
              </w:rPr>
              <w:t xml:space="preserve">Method</w:t>
            </w:r>
          </w:p>
        </w:tc>
        <w:tc>
          <w:tcPr>
            <w:tcW w:w="1800" w:type="dxa"/>
          </w:tcPr>
          <w:p>
            <w:pPr>
              <w:bidi/>
              <w:jc w:val="right"/>
            </w:pPr>
            <w:r>
              <w:rPr>
                <w:rtl/>
                <w:sz w:val="21"/>
                <w:b/>
              </w:rPr>
              <w:t xml:space="preserve">MAP@10</w:t>
            </w:r>
          </w:p>
        </w:tc>
        <w:tc>
          <w:tcPr>
            <w:tcW w:w="1800" w:type="dxa"/>
          </w:tcPr>
          <w:p>
            <w:pPr>
              <w:bidi/>
              <w:jc w:val="right"/>
            </w:pPr>
            <w:r>
              <w:rPr>
                <w:rtl/>
                <w:sz w:val="21"/>
                <w:b/>
              </w:rPr>
              <w:t xml:space="preserve">nDCG@10</w:t>
            </w:r>
          </w:p>
        </w:tc>
        <w:tc>
          <w:tcPr>
            <w:tcW w:w="1800" w:type="dxa"/>
          </w:tcPr>
          <w:p>
            <w:pPr>
              <w:bidi/>
              <w:jc w:val="right"/>
            </w:pPr>
            <w:r>
              <w:rPr>
                <w:rtl/>
                <w:sz w:val="21"/>
                <w:b/>
              </w:rPr>
              <w:t xml:space="preserve">P@10</w:t>
            </w:r>
          </w:p>
        </w:tc>
        <w:tc>
          <w:tcPr>
            <w:tcW w:w="1800" w:type="dxa"/>
          </w:tcPr>
          <w:p>
            <w:pPr>
              <w:bidi/>
              <w:jc w:val="right"/>
            </w:pPr>
            <w:r>
              <w:rPr>
                <w:rtl/>
                <w:sz w:val="21"/>
                <w:b/>
              </w:rPr>
              <w:t xml:space="preserve">Recall@10</w:t>
            </w:r>
          </w:p>
        </w:tc>
      </w:tr>
      <w:tr>
        <w:tc>
          <w:tcPr>
            <w:tcW w:w="1800" w:type="dxa"/>
          </w:tcPr>
          <w:p>
            <w:pPr>
              <w:bidi/>
              <w:jc w:val="right"/>
            </w:pPr>
            <w:r>
              <w:rPr>
                <w:rtl/>
                <w:sz w:val="21"/>
              </w:rPr>
              <w:t xml:space="preserve">bert_rerank</w:t>
            </w:r>
          </w:p>
        </w:tc>
        <w:tc>
          <w:tcPr>
            <w:tcW w:w="1800" w:type="dxa"/>
          </w:tcPr>
          <w:p>
            <w:pPr>
              <w:bidi/>
              <w:jc w:val="right"/>
            </w:pPr>
            <w:r>
              <w:rPr>
                <w:rtl/>
                <w:sz w:val="21"/>
              </w:rPr>
              <w:t xml:space="preserve">0.0556</w:t>
            </w:r>
          </w:p>
        </w:tc>
        <w:tc>
          <w:tcPr>
            <w:tcW w:w="1800" w:type="dxa"/>
          </w:tcPr>
          <w:p>
            <w:pPr>
              <w:bidi/>
              <w:jc w:val="right"/>
            </w:pPr>
            <w:r>
              <w:rPr>
                <w:rtl/>
                <w:sz w:val="21"/>
              </w:rPr>
              <w:t xml:space="preserve">0.2474</w:t>
            </w:r>
          </w:p>
        </w:tc>
        <w:tc>
          <w:tcPr>
            <w:tcW w:w="1800" w:type="dxa"/>
          </w:tcPr>
          <w:p>
            <w:pPr>
              <w:bidi/>
              <w:jc w:val="right"/>
            </w:pPr>
            <w:r>
              <w:rPr>
                <w:rtl/>
                <w:sz w:val="21"/>
              </w:rPr>
              <w:t xml:space="preserve">0.2655</w:t>
            </w:r>
          </w:p>
        </w:tc>
        <w:tc>
          <w:tcPr>
            <w:tcW w:w="1800" w:type="dxa"/>
          </w:tcPr>
          <w:p>
            <w:pPr>
              <w:bidi/>
              <w:jc w:val="right"/>
            </w:pPr>
            <w:r>
              <w:rPr>
                <w:rtl/>
                <w:sz w:val="21"/>
              </w:rPr>
              <w:t xml:space="preserve">0.0864</w:t>
            </w:r>
          </w:p>
        </w:tc>
      </w:tr>
    </w:tbl>
    <w:p>
      <w:pPr>
        <w:bidi/>
        <w:jc w:val="right"/>
      </w:pPr>
      <w:r>
        <w:rPr>
          <w:rtl/>
          <w:sz w:val="24"/>
        </w:rPr>
        <w:t xml:space="preserve">BERT reranking يعمل فوق مرشحي BM25 بدل تطبيق BERT على كامل الوثائق، وهذا يحافظ على السرعة ويضيف فهمًا دلاليًا للرتب الأولى.</w:t>
      </w:r>
    </w:p>
    <w:p>
      <w:pPr>
        <w:bidi/>
        <w:jc w:val="right"/>
      </w:pPr>
      <w:r>
        <w:rPr>
          <w:rtl/>
          <w:sz w:val="26"/>
          <w:b/>
        </w:rPr>
        <w:t xml:space="preserve">10.4 تقييم RAG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800" w:type="dxa"/>
          </w:tcPr>
          <w:p>
            <w:pPr>
              <w:bidi/>
              <w:jc w:val="right"/>
            </w:pPr>
            <w:r>
              <w:rPr>
                <w:rtl/>
                <w:sz w:val="21"/>
                <w:b/>
              </w:rPr>
              <w:t xml:space="preserve">Source P@5</w:t>
            </w:r>
          </w:p>
        </w:tc>
        <w:tc>
          <w:tcPr>
            <w:tcW w:w="1800" w:type="dxa"/>
          </w:tcPr>
          <w:p>
            <w:pPr>
              <w:bidi/>
              <w:jc w:val="right"/>
            </w:pPr>
            <w:r>
              <w:rPr>
                <w:rtl/>
                <w:sz w:val="21"/>
                <w:b/>
              </w:rPr>
              <w:t xml:space="preserve">Source Recall@5</w:t>
            </w:r>
          </w:p>
        </w:tc>
        <w:tc>
          <w:tcPr>
            <w:tcW w:w="1800" w:type="dxa"/>
          </w:tcPr>
          <w:p>
            <w:pPr>
              <w:bidi/>
              <w:jc w:val="right"/>
            </w:pPr>
            <w:r>
              <w:rPr>
                <w:rtl/>
                <w:sz w:val="21"/>
                <w:b/>
              </w:rPr>
              <w:t xml:space="preserve">Query Coverage</w:t>
            </w:r>
          </w:p>
        </w:tc>
        <w:tc>
          <w:tcPr>
            <w:tcW w:w="1800" w:type="dxa"/>
          </w:tcPr>
          <w:p>
            <w:pPr>
              <w:bidi/>
              <w:jc w:val="right"/>
            </w:pPr>
            <w:r>
              <w:rPr>
                <w:rtl/>
                <w:sz w:val="21"/>
                <w:b/>
              </w:rPr>
              <w:t xml:space="preserve">Citation Coverage</w:t>
            </w:r>
          </w:p>
        </w:tc>
        <w:tc>
          <w:tcPr>
            <w:tcW w:w="1800" w:type="dxa"/>
          </w:tcPr>
          <w:p>
            <w:pPr>
              <w:bidi/>
              <w:jc w:val="right"/>
            </w:pPr>
            <w:r>
              <w:rPr>
                <w:rtl/>
                <w:sz w:val="21"/>
                <w:b/>
              </w:rPr>
              <w:t xml:space="preserve">Groundedness</w:t>
            </w:r>
          </w:p>
        </w:tc>
      </w:tr>
      <w:tr>
        <w:tc>
          <w:tcPr>
            <w:tcW w:w="1800" w:type="dxa"/>
          </w:tcPr>
          <w:p>
            <w:pPr>
              <w:bidi/>
              <w:jc w:val="right"/>
            </w:pPr>
            <w:r>
              <w:rPr>
                <w:rtl/>
                <w:sz w:val="21"/>
              </w:rPr>
              <w:t xml:space="preserve">0.2483</w:t>
            </w:r>
          </w:p>
        </w:tc>
        <w:tc>
          <w:tcPr>
            <w:tcW w:w="1800" w:type="dxa"/>
          </w:tcPr>
          <w:p>
            <w:pPr>
              <w:bidi/>
              <w:jc w:val="right"/>
            </w:pPr>
            <w:r>
              <w:rPr>
                <w:rtl/>
                <w:sz w:val="21"/>
              </w:rPr>
              <w:t xml:space="preserve">0.0604</w:t>
            </w:r>
          </w:p>
        </w:tc>
        <w:tc>
          <w:tcPr>
            <w:tcW w:w="1800" w:type="dxa"/>
          </w:tcPr>
          <w:p>
            <w:pPr>
              <w:bidi/>
              <w:jc w:val="right"/>
            </w:pPr>
            <w:r>
              <w:rPr>
                <w:rtl/>
                <w:sz w:val="21"/>
              </w:rPr>
              <w:t xml:space="preserve">0.4352</w:t>
            </w:r>
          </w:p>
        </w:tc>
        <w:tc>
          <w:tcPr>
            <w:tcW w:w="1800" w:type="dxa"/>
          </w:tcPr>
          <w:p>
            <w:pPr>
              <w:bidi/>
              <w:jc w:val="right"/>
            </w:pPr>
            <w:r>
              <w:rPr>
                <w:rtl/>
                <w:sz w:val="21"/>
              </w:rPr>
              <w:t xml:space="preserve">0.6000</w:t>
            </w:r>
          </w:p>
        </w:tc>
        <w:tc>
          <w:tcPr>
            <w:tcW w:w="1800" w:type="dxa"/>
          </w:tcPr>
          <w:p>
            <w:pPr>
              <w:bidi/>
              <w:jc w:val="right"/>
            </w:pPr>
            <w:r>
              <w:rPr>
                <w:rtl/>
                <w:sz w:val="21"/>
              </w:rPr>
              <w:t xml:space="preserve">1.0000</w:t>
            </w:r>
          </w:p>
        </w:tc>
      </w:tr>
    </w:tbl>
    <w:p>
      <w:pPr>
        <w:bidi/>
        <w:jc w:val="right"/>
      </w:pPr>
      <w:r>
        <w:rPr>
          <w:rtl/>
          <w:sz w:val="24"/>
        </w:rPr>
        <w:t xml:space="preserve">قيمة groundedness = 1.0 تعني أن جمل الأدلة المعروضة في RAG موجودة نصيًا داخل الوثائق الأصلية المسترجعة، وهذا يثبت أن الإجابة مؤرضة بالمصادر.</w:t>
      </w:r>
    </w:p>
    <w:p>
      <w:pPr>
        <w:pStyle w:val="Heading1"/>
        <w:bidi/>
        <w:jc w:val="right"/>
      </w:pPr>
      <w:r>
        <w:rPr>
          <w:rtl/>
          <w:sz w:val="30"/>
          <w:b/>
        </w:rPr>
        <w:t xml:space="preserve">11. تقسيم العمل بين أعضاء المجموعة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4500" w:type="dxa"/>
          </w:tcPr>
          <w:p>
            <w:pPr>
              <w:bidi/>
              <w:jc w:val="right"/>
            </w:pPr>
            <w:r>
              <w:rPr>
                <w:rtl/>
                <w:sz w:val="21"/>
                <w:b/>
              </w:rPr>
              <w:t xml:space="preserve">العضو</w:t>
            </w:r>
          </w:p>
        </w:tc>
        <w:tc>
          <w:tcPr>
            <w:tcW w:w="4500" w:type="dxa"/>
          </w:tcPr>
          <w:p>
            <w:pPr>
              <w:bidi/>
              <w:jc w:val="right"/>
            </w:pPr>
            <w:r>
              <w:rPr>
                <w:rtl/>
                <w:sz w:val="21"/>
                <w:b/>
              </w:rPr>
              <w:t xml:space="preserve">المهام</w:t>
            </w:r>
          </w:p>
        </w:tc>
      </w:tr>
      <w:tr>
        <w:tc>
          <w:tcPr>
            <w:tcW w:w="4500" w:type="dxa"/>
          </w:tcPr>
          <w:p>
            <w:pPr>
              <w:bidi/>
              <w:jc w:val="right"/>
            </w:pPr>
            <w:r>
              <w:rPr>
                <w:rtl/>
                <w:sz w:val="21"/>
              </w:rPr>
              <w:t xml:space="preserve">الخضر الديواني</w:t>
            </w:r>
          </w:p>
        </w:tc>
        <w:tc>
          <w:tcPr>
            <w:tcW w:w="4500" w:type="dxa"/>
          </w:tcPr>
          <w:p>
            <w:pPr>
              <w:bidi/>
              <w:jc w:val="right"/>
            </w:pPr>
            <w:r>
              <w:rPr>
                <w:rtl/>
                <w:sz w:val="21"/>
              </w:rPr>
              <w:t xml:space="preserve">تجهيز Dataset وqrels وتحضير ملفات التدريب والتقييم.</w:t>
            </w:r>
          </w:p>
        </w:tc>
      </w:tr>
      <w:tr>
        <w:tc>
          <w:tcPr>
            <w:tcW w:w="4500" w:type="dxa"/>
          </w:tcPr>
          <w:p>
            <w:pPr>
              <w:bidi/>
              <w:jc w:val="right"/>
            </w:pPr>
            <w:r>
              <w:rPr>
                <w:rtl/>
                <w:sz w:val="21"/>
              </w:rPr>
              <w:t xml:space="preserve">نايا سعدون</w:t>
            </w:r>
          </w:p>
        </w:tc>
        <w:tc>
          <w:tcPr>
            <w:tcW w:w="4500" w:type="dxa"/>
          </w:tcPr>
          <w:p>
            <w:pPr>
              <w:bidi/>
              <w:jc w:val="right"/>
            </w:pPr>
            <w:r>
              <w:rPr>
                <w:rtl/>
                <w:sz w:val="21"/>
              </w:rPr>
              <w:t xml:space="preserve">Preprocessing وQuery Processing وQuery Refinement.</w:t>
            </w:r>
          </w:p>
        </w:tc>
      </w:tr>
      <w:tr>
        <w:tc>
          <w:tcPr>
            <w:tcW w:w="4500" w:type="dxa"/>
          </w:tcPr>
          <w:p>
            <w:pPr>
              <w:bidi/>
              <w:jc w:val="right"/>
            </w:pPr>
            <w:r>
              <w:rPr>
                <w:rtl/>
                <w:sz w:val="21"/>
              </w:rPr>
              <w:t xml:space="preserve">حلا العوض</w:t>
            </w:r>
          </w:p>
        </w:tc>
        <w:tc>
          <w:tcPr>
            <w:tcW w:w="4500" w:type="dxa"/>
          </w:tcPr>
          <w:p>
            <w:pPr>
              <w:bidi/>
              <w:jc w:val="right"/>
            </w:pPr>
            <w:r>
              <w:rPr>
                <w:rtl/>
                <w:sz w:val="21"/>
              </w:rPr>
              <w:t xml:space="preserve">TF-IDF وEmbedding وتمثيل الوثائق.</w:t>
            </w:r>
          </w:p>
        </w:tc>
      </w:tr>
      <w:tr>
        <w:tc>
          <w:tcPr>
            <w:tcW w:w="4500" w:type="dxa"/>
          </w:tcPr>
          <w:p>
            <w:pPr>
              <w:bidi/>
              <w:jc w:val="right"/>
            </w:pPr>
            <w:r>
              <w:rPr>
                <w:rtl/>
                <w:sz w:val="21"/>
              </w:rPr>
              <w:t xml:space="preserve">ليث ظاهر</w:t>
            </w:r>
          </w:p>
        </w:tc>
        <w:tc>
          <w:tcPr>
            <w:tcW w:w="4500" w:type="dxa"/>
          </w:tcPr>
          <w:p>
            <w:pPr>
              <w:bidi/>
              <w:jc w:val="right"/>
            </w:pPr>
            <w:r>
              <w:rPr>
                <w:rtl/>
                <w:sz w:val="21"/>
              </w:rPr>
              <w:t xml:space="preserve">BM25 وHybrid Retrieval وRanking وتجهيز التشغيل.</w:t>
            </w:r>
          </w:p>
        </w:tc>
      </w:tr>
      <w:tr>
        <w:tc>
          <w:tcPr>
            <w:tcW w:w="4500" w:type="dxa"/>
          </w:tcPr>
          <w:p>
            <w:pPr>
              <w:bidi/>
              <w:jc w:val="right"/>
            </w:pPr>
            <w:r>
              <w:rPr>
                <w:rtl/>
                <w:sz w:val="21"/>
              </w:rPr>
              <w:t xml:space="preserve">نوال صالح</w:t>
            </w:r>
          </w:p>
        </w:tc>
        <w:tc>
          <w:tcPr>
            <w:tcW w:w="4500" w:type="dxa"/>
          </w:tcPr>
          <w:p>
            <w:pPr>
              <w:bidi/>
              <w:jc w:val="right"/>
            </w:pPr>
            <w:r>
              <w:rPr>
                <w:rtl/>
                <w:sz w:val="21"/>
              </w:rPr>
              <w:t xml:space="preserve">Evaluation وStreamlit UI وRAG Chat وتجهيز التقرير.</w:t>
            </w:r>
          </w:p>
        </w:tc>
      </w:tr>
    </w:tbl>
    <w:p>
      <w:pPr>
        <w:pStyle w:val="Heading1"/>
        <w:bidi/>
        <w:jc w:val="right"/>
      </w:pPr>
      <w:r>
        <w:rPr>
          <w:rtl/>
          <w:sz w:val="30"/>
          <w:b/>
        </w:rPr>
        <w:t xml:space="preserve">12. طريقة التشغيل</w:t>
      </w:r>
    </w:p>
    <w:p>
      <w:pPr>
        <w:bidi/>
        <w:jc w:val="right"/>
      </w:pPr>
      <w:r>
        <w:rPr>
          <w:rtl/>
          <w:sz w:val="24"/>
        </w:rPr>
        <w:t xml:space="preserve">توجد ملفات تشغيل جاهزة تستخدم .venv تلقائيًا عند وجودها وتضبط IR_DATASETS_HOME داخل المشروع.</w:t>
      </w:r>
    </w:p>
    <w:p>
      <w:pPr>
        <w:jc w:val="left"/>
      </w:pPr>
      <w:r>
        <w:rPr>
          <w:rFonts w:ascii="Consolas" w:hAnsi="Consolas"/>
          <w:sz w:val="21"/>
        </w:rPr>
        <w:t xml:space="preserve">git clone https://github.com/laith252/ir_project.git</w:t>
      </w:r>
    </w:p>
    <w:p>
      <w:pPr>
        <w:jc w:val="left"/>
      </w:pPr>
      <w:r>
        <w:rPr>
          <w:rFonts w:ascii="Consolas" w:hAnsi="Consolas"/>
          <w:sz w:val="21"/>
        </w:rPr>
        <w:t xml:space="preserve">cd ir_project</w:t>
      </w:r>
    </w:p>
    <w:p>
      <w:pPr>
        <w:jc w:val="left"/>
      </w:pPr>
      <w:r>
        <w:rPr>
          <w:rFonts w:ascii="Consolas" w:hAnsi="Consolas"/>
          <w:sz w:val="21"/>
        </w:rPr>
        <w:t xml:space="preserve">python -m pip install -r requirements.txt</w:t>
      </w:r>
    </w:p>
    <w:p>
      <w:pPr>
        <w:jc w:val="left"/>
      </w:pPr>
      <w:r>
        <w:rPr>
          <w:rFonts w:ascii="Consolas" w:hAnsi="Consolas"/>
          <w:sz w:val="21"/>
        </w:rPr>
        <w:t xml:space="preserve">.\run_app.cmd</w:t>
      </w:r>
    </w:p>
    <w:p>
      <w:pPr>
        <w:jc w:val="left"/>
      </w:pPr>
      <w:r>
        <w:rPr>
          <w:rFonts w:ascii="Consolas" w:hAnsi="Consolas"/>
          <w:sz w:val="21"/>
        </w:rPr>
        <w:t xml:space="preserve">.\run_api.cmd</w:t>
      </w:r>
    </w:p>
    <w:p>
      <w:pPr>
        <w:jc w:val="left"/>
      </w:pPr>
      <w:r>
        <w:rPr>
          <w:rFonts w:ascii="Consolas" w:hAnsi="Consolas"/>
          <w:sz w:val="21"/>
        </w:rPr>
        <w:t xml:space="preserve">.\run_tests.cmd</w:t>
      </w:r>
    </w:p>
    <w:p>
      <w:pPr>
        <w:pStyle w:val="Heading1"/>
        <w:bidi/>
        <w:jc w:val="right"/>
      </w:pPr>
      <w:r>
        <w:rPr>
          <w:rtl/>
          <w:sz w:val="30"/>
          <w:b/>
        </w:rPr>
        <w:t xml:space="preserve">13. صور التحقق من التشغيل</w:t>
      </w:r>
    </w:p>
    <w:p>
      <w:pPr>
        <w:bidi/>
        <w:jc w:val="right"/>
      </w:pPr>
      <w:r>
        <w:rPr>
          <w:rtl/>
          <w:sz w:val="24"/>
        </w:rPr>
        <w:t xml:space="preserve">توضح الصور التالية أن الواجهة ومحرك البحث وRAG والتقييم والـAPI وCLI تعمل فعليًا على الجهاز المحلي.</w:t>
      </w:r>
    </w:p>
    <w:p>
      <w:pPr>
        <w:bidi/>
        <w:jc w:val="right"/>
      </w:pPr>
      <w:r>
        <w:rPr>
          <w:rtl/>
          <w:sz w:val="24"/>
          <w:b/>
        </w:rPr>
        <w:t xml:space="preserve">الشكل 1: واجهة البحث باستخدام BM25 مع Query Refinement وسجل البحث.</w:t>
      </w:r>
    </w:p>
    <w:p>
      <w:pPr>
        <w:jc w:val="center"/>
      </w:pPr>
      <w:r>
        <w:drawing>
          <wp:inline distT="0" distB="0" distL="0" distR="0">
            <wp:extent cx="5852160" cy="2883238"/>
            <wp:effectExtent l="0" t="0" r="0" b="0"/>
            <wp:docPr id="1" name="Picture 1"/>
            <wp:cNvGraphicFramePr>
              <a:graphicFrameLocks noChangeAspect="1"/>
            </wp:cNvGraphicFramePr>
            <a:graphic>
              <a:graphicData uri="http://schemas.openxmlformats.org/drawingml/2006/picture">
                <pic:pic>
                  <pic:nvPicPr>
                    <pic:cNvPr id="0" name="screenshot.png"/>
                    <pic:cNvPicPr/>
                  </pic:nvPicPr>
                  <pic:blipFill>
                    <a:blip r:embed="rId1"/>
                    <a:stretch>
                      <a:fillRect/>
                    </a:stretch>
                  </pic:blipFill>
                  <pic:spPr>
                    <a:xfrm>
                      <a:off x="0" y="0"/>
                      <a:ext cx="5852160" cy="2883238"/>
                    </a:xfrm>
                    <a:prstGeom prst="rect">
                      <a:avLst/>
                    </a:prstGeom>
                  </pic:spPr>
                </pic:pic>
              </a:graphicData>
            </a:graphic>
          </wp:inline>
        </w:drawing>
      </w:r>
    </w:p>
    <w:p>
      <w:pPr>
        <w:bidi/>
        <w:jc w:val="right"/>
      </w:pPr>
      <w:r>
        <w:rPr>
          <w:rtl/>
          <w:sz w:val="24"/>
          <w:b/>
        </w:rPr>
        <w:t xml:space="preserve">الشكل 2: نتيجة بحث BM25 عند إيقاف Query Refinement.</w:t>
      </w:r>
    </w:p>
    <w:p>
      <w:pPr>
        <w:jc w:val="center"/>
      </w:pPr>
      <w:r>
        <w:drawing>
          <wp:inline distT="0" distB="0" distL="0" distR="0">
            <wp:extent cx="5852160" cy="2853249"/>
            <wp:effectExtent l="0" t="0" r="0" b="0"/>
            <wp:docPr id="2" name="Picture 2"/>
            <wp:cNvGraphicFramePr>
              <a:graphicFrameLocks noChangeAspect="1"/>
            </wp:cNvGraphicFramePr>
            <a:graphic>
              <a:graphicData uri="http://schemas.openxmlformats.org/drawingml/2006/picture">
                <pic:pic>
                  <pic:nvPicPr>
                    <pic:cNvPr id="0" name="screenshot.png"/>
                    <pic:cNvPicPr/>
                  </pic:nvPicPr>
                  <pic:blipFill>
                    <a:blip r:embed="rId2"/>
                    <a:stretch>
                      <a:fillRect/>
                    </a:stretch>
                  </pic:blipFill>
                  <pic:spPr>
                    <a:xfrm>
                      <a:off x="0" y="0"/>
                      <a:ext cx="5852160" cy="2853249"/>
                    </a:xfrm>
                    <a:prstGeom prst="rect">
                      <a:avLst/>
                    </a:prstGeom>
                  </pic:spPr>
                </pic:pic>
              </a:graphicData>
            </a:graphic>
          </wp:inline>
        </w:drawing>
      </w:r>
    </w:p>
    <w:p>
      <w:pPr>
        <w:bidi/>
        <w:jc w:val="right"/>
      </w:pPr>
      <w:r>
        <w:rPr>
          <w:rtl/>
          <w:sz w:val="24"/>
          <w:b/>
        </w:rPr>
        <w:t xml:space="preserve">الشكل 3: قائمة طرق البحث وسجل الاستعلامات في الشريط الجانبي.</w:t>
      </w:r>
    </w:p>
    <w:p>
      <w:pPr>
        <w:jc w:val="center"/>
      </w:pPr>
      <w:r>
        <w:drawing>
          <wp:inline distT="0" distB="0" distL="0" distR="0">
            <wp:extent cx="5852160" cy="2874670"/>
            <wp:effectExtent l="0" t="0" r="0" b="0"/>
            <wp:docPr id="3" name="Picture 3"/>
            <wp:cNvGraphicFramePr>
              <a:graphicFrameLocks noChangeAspect="1"/>
            </wp:cNvGraphicFramePr>
            <a:graphic>
              <a:graphicData uri="http://schemas.openxmlformats.org/drawingml/2006/picture">
                <pic:pic>
                  <pic:nvPicPr>
                    <pic:cNvPr id="0" name="screenshot.png"/>
                    <pic:cNvPicPr/>
                  </pic:nvPicPr>
                  <pic:blipFill>
                    <a:blip r:embed="rId3"/>
                    <a:stretch>
                      <a:fillRect/>
                    </a:stretch>
                  </pic:blipFill>
                  <pic:spPr>
                    <a:xfrm>
                      <a:off x="0" y="0"/>
                      <a:ext cx="5852160" cy="2874670"/>
                    </a:xfrm>
                    <a:prstGeom prst="rect">
                      <a:avLst/>
                    </a:prstGeom>
                  </pic:spPr>
                </pic:pic>
              </a:graphicData>
            </a:graphic>
          </wp:inline>
        </w:drawing>
      </w:r>
    </w:p>
    <w:p>
      <w:pPr>
        <w:bidi/>
        <w:jc w:val="right"/>
      </w:pPr>
      <w:r>
        <w:rPr>
          <w:rtl/>
          <w:sz w:val="24"/>
          <w:b/>
        </w:rPr>
        <w:t xml:space="preserve">الشكل 4: تبويب RAG Chat وإجابة مؤرضة مع citations.</w:t>
      </w:r>
    </w:p>
    <w:p>
      <w:pPr>
        <w:jc w:val="center"/>
      </w:pPr>
      <w:r>
        <w:drawing>
          <wp:inline distT="0" distB="0" distL="0" distR="0">
            <wp:extent cx="5852160" cy="2908943"/>
            <wp:effectExtent l="0" t="0" r="0" b="0"/>
            <wp:docPr id="4" name="Picture 4"/>
            <wp:cNvGraphicFramePr>
              <a:graphicFrameLocks noChangeAspect="1"/>
            </wp:cNvGraphicFramePr>
            <a:graphic>
              <a:graphicData uri="http://schemas.openxmlformats.org/drawingml/2006/picture">
                <pic:pic>
                  <pic:nvPicPr>
                    <pic:cNvPr id="0" name="screenshot.png"/>
                    <pic:cNvPicPr/>
                  </pic:nvPicPr>
                  <pic:blipFill>
                    <a:blip r:embed="rId4"/>
                    <a:stretch>
                      <a:fillRect/>
                    </a:stretch>
                  </pic:blipFill>
                  <pic:spPr>
                    <a:xfrm>
                      <a:off x="0" y="0"/>
                      <a:ext cx="5852160" cy="2908943"/>
                    </a:xfrm>
                    <a:prstGeom prst="rect">
                      <a:avLst/>
                    </a:prstGeom>
                  </pic:spPr>
                </pic:pic>
              </a:graphicData>
            </a:graphic>
          </wp:inline>
        </w:drawing>
      </w:r>
    </w:p>
    <w:p>
      <w:pPr>
        <w:bidi/>
        <w:jc w:val="right"/>
      </w:pPr>
      <w:r>
        <w:rPr>
          <w:rtl/>
          <w:sz w:val="24"/>
          <w:b/>
        </w:rPr>
        <w:t xml:space="preserve">الشكل 5: جدول تقييم النماذج الأساسية.</w:t>
      </w:r>
    </w:p>
    <w:p>
      <w:pPr>
        <w:jc w:val="center"/>
      </w:pPr>
      <w:r>
        <w:drawing>
          <wp:inline distT="0" distB="0" distL="0" distR="0">
            <wp:extent cx="5852160" cy="2926080"/>
            <wp:effectExtent l="0" t="0" r="0" b="0"/>
            <wp:docPr id="5" name="Picture 5"/>
            <wp:cNvGraphicFramePr>
              <a:graphicFrameLocks noChangeAspect="1"/>
            </wp:cNvGraphicFramePr>
            <a:graphic>
              <a:graphicData uri="http://schemas.openxmlformats.org/drawingml/2006/picture">
                <pic:pic>
                  <pic:nvPicPr>
                    <pic:cNvPr id="0" name="screenshot.png"/>
                    <pic:cNvPicPr/>
                  </pic:nvPicPr>
                  <pic:blipFill>
                    <a:blip r:embed="rId5"/>
                    <a:stretch>
                      <a:fillRect/>
                    </a:stretch>
                  </pic:blipFill>
                  <pic:spPr>
                    <a:xfrm>
                      <a:off x="0" y="0"/>
                      <a:ext cx="5852160" cy="2926080"/>
                    </a:xfrm>
                    <a:prstGeom prst="rect">
                      <a:avLst/>
                    </a:prstGeom>
                  </pic:spPr>
                </pic:pic>
              </a:graphicData>
            </a:graphic>
          </wp:inline>
        </w:drawing>
      </w:r>
    </w:p>
    <w:p>
      <w:pPr>
        <w:bidi/>
        <w:jc w:val="right"/>
      </w:pPr>
      <w:r>
        <w:rPr>
          <w:rtl/>
          <w:sz w:val="24"/>
          <w:b/>
        </w:rPr>
        <w:t xml:space="preserve">الشكل 6: تقييم Query Refinement وتقييم BERT reranking.</w:t>
      </w:r>
    </w:p>
    <w:p>
      <w:pPr>
        <w:jc w:val="center"/>
      </w:pPr>
      <w:r>
        <w:drawing>
          <wp:inline distT="0" distB="0" distL="0" distR="0">
            <wp:extent cx="5852160" cy="2913227"/>
            <wp:effectExtent l="0" t="0" r="0" b="0"/>
            <wp:docPr id="6" name="Picture 6"/>
            <wp:cNvGraphicFramePr>
              <a:graphicFrameLocks noChangeAspect="1"/>
            </wp:cNvGraphicFramePr>
            <a:graphic>
              <a:graphicData uri="http://schemas.openxmlformats.org/drawingml/2006/picture">
                <pic:pic>
                  <pic:nvPicPr>
                    <pic:cNvPr id="0" name="screenshot.png"/>
                    <pic:cNvPicPr/>
                  </pic:nvPicPr>
                  <pic:blipFill>
                    <a:blip r:embed="rId6"/>
                    <a:stretch>
                      <a:fillRect/>
                    </a:stretch>
                  </pic:blipFill>
                  <pic:spPr>
                    <a:xfrm>
                      <a:off x="0" y="0"/>
                      <a:ext cx="5852160" cy="2913227"/>
                    </a:xfrm>
                    <a:prstGeom prst="rect">
                      <a:avLst/>
                    </a:prstGeom>
                  </pic:spPr>
                </pic:pic>
              </a:graphicData>
            </a:graphic>
          </wp:inline>
        </w:drawing>
      </w:r>
    </w:p>
    <w:p>
      <w:pPr>
        <w:bidi/>
        <w:jc w:val="right"/>
      </w:pPr>
      <w:r>
        <w:rPr>
          <w:rtl/>
          <w:sz w:val="24"/>
          <w:b/>
        </w:rPr>
        <w:t xml:space="preserve">الشكل 7: تقييم RAG والرسم البياني العام.</w:t>
      </w:r>
    </w:p>
    <w:p>
      <w:pPr>
        <w:jc w:val="center"/>
      </w:pPr>
      <w:r>
        <w:drawing>
          <wp:inline distT="0" distB="0" distL="0" distR="0">
            <wp:extent cx="5852160" cy="2917511"/>
            <wp:effectExtent l="0" t="0" r="0" b="0"/>
            <wp:docPr id="7" name="Picture 7"/>
            <wp:cNvGraphicFramePr>
              <a:graphicFrameLocks noChangeAspect="1"/>
            </wp:cNvGraphicFramePr>
            <a:graphic>
              <a:graphicData uri="http://schemas.openxmlformats.org/drawingml/2006/picture">
                <pic:pic>
                  <pic:nvPicPr>
                    <pic:cNvPr id="0" name="screenshot.png"/>
                    <pic:cNvPicPr/>
                  </pic:nvPicPr>
                  <pic:blipFill>
                    <a:blip r:embed="rId7"/>
                    <a:stretch>
                      <a:fillRect/>
                    </a:stretch>
                  </pic:blipFill>
                  <pic:spPr>
                    <a:xfrm>
                      <a:off x="0" y="0"/>
                      <a:ext cx="5852160" cy="2917511"/>
                    </a:xfrm>
                    <a:prstGeom prst="rect">
                      <a:avLst/>
                    </a:prstGeom>
                  </pic:spPr>
                </pic:pic>
              </a:graphicData>
            </a:graphic>
          </wp:inline>
        </w:drawing>
      </w:r>
    </w:p>
    <w:p>
      <w:pPr>
        <w:bidi/>
        <w:jc w:val="right"/>
      </w:pPr>
      <w:r>
        <w:rPr>
          <w:rtl/>
          <w:sz w:val="24"/>
          <w:b/>
        </w:rPr>
        <w:t xml:space="preserve">الشكل 8: مخطط مقارنة مقاييس IR للنماذج.</w:t>
      </w:r>
    </w:p>
    <w:p>
      <w:pPr>
        <w:jc w:val="center"/>
      </w:pPr>
      <w:r>
        <w:drawing>
          <wp:inline distT="0" distB="0" distL="0" distR="0">
            <wp:extent cx="5852160" cy="2913227"/>
            <wp:effectExtent l="0" t="0" r="0" b="0"/>
            <wp:docPr id="8" name="Picture 8"/>
            <wp:cNvGraphicFramePr>
              <a:graphicFrameLocks noChangeAspect="1"/>
            </wp:cNvGraphicFramePr>
            <a:graphic>
              <a:graphicData uri="http://schemas.openxmlformats.org/drawingml/2006/picture">
                <pic:pic>
                  <pic:nvPicPr>
                    <pic:cNvPr id="0" name="screenshot.png"/>
                    <pic:cNvPicPr/>
                  </pic:nvPicPr>
                  <pic:blipFill>
                    <a:blip r:embed="rId8"/>
                    <a:stretch>
                      <a:fillRect/>
                    </a:stretch>
                  </pic:blipFill>
                  <pic:spPr>
                    <a:xfrm>
                      <a:off x="0" y="0"/>
                      <a:ext cx="5852160" cy="2913227"/>
                    </a:xfrm>
                    <a:prstGeom prst="rect">
                      <a:avLst/>
                    </a:prstGeom>
                  </pic:spPr>
                </pic:pic>
              </a:graphicData>
            </a:graphic>
          </wp:inline>
        </w:drawing>
      </w:r>
    </w:p>
    <w:p>
      <w:pPr>
        <w:bidi/>
        <w:jc w:val="right"/>
      </w:pPr>
      <w:r>
        <w:rPr>
          <w:rtl/>
          <w:sz w:val="24"/>
          <w:b/>
        </w:rPr>
        <w:t xml:space="preserve">الشكل 9: توثيق FastAPI / OpenAPI للواجهات REST.</w:t>
      </w:r>
    </w:p>
    <w:p>
      <w:pPr>
        <w:jc w:val="center"/>
      </w:pPr>
      <w:r>
        <w:drawing>
          <wp:inline distT="0" distB="0" distL="0" distR="0">
            <wp:extent cx="5852160" cy="2857533"/>
            <wp:effectExtent l="0" t="0" r="0" b="0"/>
            <wp:docPr id="9" name="Picture 9"/>
            <wp:cNvGraphicFramePr>
              <a:graphicFrameLocks noChangeAspect="1"/>
            </wp:cNvGraphicFramePr>
            <a:graphic>
              <a:graphicData uri="http://schemas.openxmlformats.org/drawingml/2006/picture">
                <pic:pic>
                  <pic:nvPicPr>
                    <pic:cNvPr id="0" name="screenshot.png"/>
                    <pic:cNvPicPr/>
                  </pic:nvPicPr>
                  <pic:blipFill>
                    <a:blip r:embed="rId9"/>
                    <a:stretch>
                      <a:fillRect/>
                    </a:stretch>
                  </pic:blipFill>
                  <pic:spPr>
                    <a:xfrm>
                      <a:off x="0" y="0"/>
                      <a:ext cx="5852160" cy="2857533"/>
                    </a:xfrm>
                    <a:prstGeom prst="rect">
                      <a:avLst/>
                    </a:prstGeom>
                  </pic:spPr>
                </pic:pic>
              </a:graphicData>
            </a:graphic>
          </wp:inline>
        </w:drawing>
      </w:r>
    </w:p>
    <w:p>
      <w:pPr>
        <w:bidi/>
        <w:jc w:val="right"/>
      </w:pPr>
      <w:r>
        <w:rPr>
          <w:rtl/>
          <w:sz w:val="24"/>
          <w:b/>
        </w:rPr>
        <w:t xml:space="preserve">الشكل 10: ملف openapi.json الذي يصف واجهات API.</w:t>
      </w:r>
    </w:p>
    <w:p>
      <w:pPr>
        <w:jc w:val="center"/>
      </w:pPr>
      <w:r>
        <w:drawing>
          <wp:inline distT="0" distB="0" distL="0" distR="0">
            <wp:extent cx="5852160" cy="2926080"/>
            <wp:effectExtent l="0" t="0" r="0" b="0"/>
            <wp:docPr id="10" name="Picture 10"/>
            <wp:cNvGraphicFramePr>
              <a:graphicFrameLocks noChangeAspect="1"/>
            </wp:cNvGraphicFramePr>
            <a:graphic>
              <a:graphicData uri="http://schemas.openxmlformats.org/drawingml/2006/picture">
                <pic:pic>
                  <pic:nvPicPr>
                    <pic:cNvPr id="0" name="screenshot.png"/>
                    <pic:cNvPicPr/>
                  </pic:nvPicPr>
                  <pic:blipFill>
                    <a:blip r:embed="rId10"/>
                    <a:stretch>
                      <a:fillRect/>
                    </a:stretch>
                  </pic:blipFill>
                  <pic:spPr>
                    <a:xfrm>
                      <a:off x="0" y="0"/>
                      <a:ext cx="5852160" cy="2926080"/>
                    </a:xfrm>
                    <a:prstGeom prst="rect">
                      <a:avLst/>
                    </a:prstGeom>
                  </pic:spPr>
                </pic:pic>
              </a:graphicData>
            </a:graphic>
          </wp:inline>
        </w:drawing>
      </w:r>
    </w:p>
    <w:p>
      <w:pPr>
        <w:bidi/>
        <w:jc w:val="right"/>
      </w:pPr>
      <w:r>
        <w:rPr>
          <w:rtl/>
          <w:sz w:val="24"/>
          <w:b/>
        </w:rPr>
        <w:t xml:space="preserve">الشكل 11: اختبار endpoint /health ونجاح الاستجابة.</w:t>
      </w:r>
    </w:p>
    <w:p>
      <w:pPr>
        <w:jc w:val="center"/>
      </w:pPr>
      <w:r>
        <w:drawing>
          <wp:inline distT="0" distB="0" distL="0" distR="0">
            <wp:extent cx="5852160" cy="2857533"/>
            <wp:effectExtent l="0" t="0" r="0" b="0"/>
            <wp:docPr id="11" name="Picture 11"/>
            <wp:cNvGraphicFramePr>
              <a:graphicFrameLocks noChangeAspect="1"/>
            </wp:cNvGraphicFramePr>
            <a:graphic>
              <a:graphicData uri="http://schemas.openxmlformats.org/drawingml/2006/picture">
                <pic:pic>
                  <pic:nvPicPr>
                    <pic:cNvPr id="0" name="screenshot.png"/>
                    <pic:cNvPicPr/>
                  </pic:nvPicPr>
                  <pic:blipFill>
                    <a:blip r:embed="rId11"/>
                    <a:stretch>
                      <a:fillRect/>
                    </a:stretch>
                  </pic:blipFill>
                  <pic:spPr>
                    <a:xfrm>
                      <a:off x="0" y="0"/>
                      <a:ext cx="5852160" cy="2857533"/>
                    </a:xfrm>
                    <a:prstGeom prst="rect">
                      <a:avLst/>
                    </a:prstGeom>
                  </pic:spPr>
                </pic:pic>
              </a:graphicData>
            </a:graphic>
          </wp:inline>
        </w:drawing>
      </w:r>
    </w:p>
    <w:p>
      <w:pPr>
        <w:bidi/>
        <w:jc w:val="right"/>
      </w:pPr>
      <w:r>
        <w:rPr>
          <w:rtl/>
          <w:sz w:val="24"/>
          <w:b/>
        </w:rPr>
        <w:t xml:space="preserve">الشكل 12: اختبار البحث من سطر الأوامر باستخدام scripts/search.py.</w:t>
      </w:r>
    </w:p>
    <w:p>
      <w:pPr>
        <w:jc w:val="center"/>
      </w:pPr>
      <w:r>
        <w:drawing>
          <wp:inline distT="0" distB="0" distL="0" distR="0">
            <wp:extent cx="5852160" cy="2883238"/>
            <wp:effectExtent l="0" t="0" r="0" b="0"/>
            <wp:docPr id="12" name="Picture 12"/>
            <wp:cNvGraphicFramePr>
              <a:graphicFrameLocks noChangeAspect="1"/>
            </wp:cNvGraphicFramePr>
            <a:graphic>
              <a:graphicData uri="http://schemas.openxmlformats.org/drawingml/2006/picture">
                <pic:pic>
                  <pic:nvPicPr>
                    <pic:cNvPr id="0" name="screenshot.png"/>
                    <pic:cNvPicPr/>
                  </pic:nvPicPr>
                  <pic:blipFill>
                    <a:blip r:embed="rId12"/>
                    <a:stretch>
                      <a:fillRect/>
                    </a:stretch>
                  </pic:blipFill>
                  <pic:spPr>
                    <a:xfrm>
                      <a:off x="0" y="0"/>
                      <a:ext cx="5852160" cy="2883238"/>
                    </a:xfrm>
                    <a:prstGeom prst="rect">
                      <a:avLst/>
                    </a:prstGeom>
                  </pic:spPr>
                </pic:pic>
              </a:graphicData>
            </a:graphic>
          </wp:inline>
        </w:drawing>
      </w:r>
    </w:p>
    <w:p>
      <w:pPr>
        <w:pStyle w:val="Heading1"/>
        <w:bidi/>
        <w:jc w:val="right"/>
      </w:pPr>
      <w:r>
        <w:rPr>
          <w:rtl/>
          <w:sz w:val="30"/>
          <w:b/>
        </w:rPr>
        <w:t xml:space="preserve">14. المصادر</w:t>
      </w:r>
    </w:p>
    <w:p>
      <w:pPr>
        <w:bidi/>
        <w:jc w:val="right"/>
      </w:pPr>
      <w:r>
        <w:rPr>
          <w:rtl/>
          <w:sz w:val="23"/>
        </w:rPr>
        <w:t xml:space="preserve">• IR Datasets documentation: https://ir-datasets.com/</w:t>
      </w:r>
    </w:p>
    <w:p>
      <w:pPr>
        <w:bidi/>
        <w:jc w:val="right"/>
      </w:pPr>
      <w:r>
        <w:rPr>
          <w:rtl/>
          <w:sz w:val="23"/>
        </w:rPr>
        <w:t xml:space="preserve">• ClinicalTrials / TREC Precision Medicine: https://trec.nist.gov/data/precmed.html</w:t>
      </w:r>
    </w:p>
    <w:p>
      <w:pPr>
        <w:bidi/>
        <w:jc w:val="right"/>
      </w:pPr>
      <w:r>
        <w:rPr>
          <w:rtl/>
          <w:sz w:val="23"/>
        </w:rPr>
        <w:t xml:space="preserve">• scikit-learn TfidfVectorizer: https://scikit-learn.org/stable/modules/generated/sklearn.feature_extraction.text.TfidfVectorizer.html</w:t>
      </w:r>
    </w:p>
    <w:p>
      <w:pPr>
        <w:bidi/>
        <w:jc w:val="right"/>
      </w:pPr>
      <w:r>
        <w:rPr>
          <w:rtl/>
          <w:sz w:val="23"/>
        </w:rPr>
        <w:t xml:space="preserve">• scikit-learn TruncatedSVD: https://scikit-learn.org/stable/modules/generated/sklearn.decomposition.TruncatedSVD.html</w:t>
      </w:r>
    </w:p>
    <w:p>
      <w:pPr>
        <w:bidi/>
        <w:jc w:val="right"/>
      </w:pPr>
      <w:r>
        <w:rPr>
          <w:rtl/>
          <w:sz w:val="23"/>
        </w:rPr>
        <w:t xml:space="preserve">• Sentence-BERT paper: https://arxiv.org/abs/1908.10084</w:t>
      </w:r>
    </w:p>
    <w:p>
      <w:pPr>
        <w:bidi/>
        <w:jc w:val="right"/>
      </w:pPr>
      <w:r>
        <w:rPr>
          <w:rtl/>
          <w:sz w:val="23"/>
        </w:rPr>
        <w:t xml:space="preserve">• Sentence Transformers documentation: https://www.sbert.net/</w:t>
      </w:r>
    </w:p>
    <w:p>
      <w:pPr>
        <w:bidi/>
        <w:jc w:val="right"/>
      </w:pPr>
      <w:r>
        <w:rPr>
          <w:rtl/>
          <w:sz w:val="23"/>
        </w:rPr>
        <w:t xml:space="preserve">• FastAPI documentation: https://fastapi.tiangolo.com/</w:t>
      </w:r>
    </w:p>
    <w:p>
      <w:pPr>
        <w:bidi/>
        <w:jc w:val="right"/>
      </w:pPr>
      <w:r>
        <w:rPr>
          <w:rtl/>
          <w:sz w:val="23"/>
        </w:rPr>
        <w:t xml:space="preserve">• Streamlit documentation: https://docs.streamlit.io/</w:t>
      </w:r>
    </w:p>
    <w:p>
      <w:pPr>
        <w:bidi/>
        <w:jc w:val="right"/>
      </w:pPr>
      <w:r>
        <w:rPr>
          <w:rtl/>
          <w:sz w:val="23"/>
        </w:rPr>
        <w:t xml:space="preserve">• Robertson and Zaragoza, BM25 and Beyond, Foundations and Trends in Information Retrieval, 2009.</w:t>
      </w:r>
    </w:p>
    <w:p>
      <w:pPr>
        <w:pStyle w:val="Heading1"/>
        <w:bidi/>
        <w:jc w:val="right"/>
      </w:pPr>
      <w:r>
        <w:rPr>
          <w:rtl/>
          <w:sz w:val="30"/>
          <w:b/>
        </w:rPr>
        <w:t xml:space="preserve">15. الخلاصة</w:t>
      </w:r>
    </w:p>
    <w:p>
      <w:pPr>
        <w:bidi/>
        <w:jc w:val="right"/>
      </w:pPr>
      <w:r>
        <w:rPr>
          <w:rtl/>
          <w:sz w:val="24"/>
        </w:rPr>
        <w:t xml:space="preserve">النظام يحقق متطلبات مشروع استرجاع المعلومات: Dataset كبيرة مع qrels، معالجة مسبقة، تمثيلات TF-IDF وBM25 وEmbedding، استرجاع هجين Parallel وSerial، Query Refinement، Search History، RAG، SOA، واجهة استخدام، API، وتقييم رسمي. أفضل نموذج أساسي حسب MAP وRecall هو BM25، بينما يعطي Hybrid Serial أفضل nDCG@10، وحقق RAG groundedness كاملة.</w:t>
      </w:r>
    </w:p>
    <w:sectPr>
      <w:pgSz w:w="11906" w:h="16838"/>
      <w:pgMar w:top="900" w:right="900" w:bottom="900" w:left="900" w:header="708" w:footer="708" w:gutter="0"/>
    </w:sectPr>
  </w:body>
</w:document>
</file>

<file path=word/_rels/document.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 Id="rId10" Type="http://schemas.openxmlformats.org/officeDocument/2006/relationships/image" Target="media/image11.png"/><Relationship Id="rId11" Type="http://schemas.openxmlformats.org/officeDocument/2006/relationships/image" Target="media/image12.png"/><Relationship Id="rId12" Type="http://schemas.openxmlformats.org/officeDocument/2006/relationships/image" Target="media/image13.png"/></Relationships>
</file>