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6"/>
          <w:szCs w:val="36"/>
        </w:rPr>
        <w:t xml:space="preserve">Anthropic vs. Cohere</w:t>
      </w:r>
    </w:p>
    <w:p>
      <w:pPr>
        <w:spacing w:after="320"/>
        <w:jc w:val="center"/>
      </w:pPr>
      <w:r>
        <w:rPr>
          <w:rFonts w:ascii="Times New Roman" w:cs="Times New Roman" w:eastAsia="Times New Roman" w:hAnsi="Times New Roman"/>
          <w:i/>
          <w:iCs/>
          <w:sz w:val="26"/>
          <w:szCs w:val="26"/>
        </w:rPr>
        <w:t xml:space="preserve">企業級 LLM 市場之差異化策略分析</w:t>
      </w:r>
    </w:p>
    <w:p>
      <w:pPr>
        <w:spacing w:after="320"/>
        <w:jc w:val="center"/>
      </w:pPr>
      <w:r>
        <w:rPr>
          <w:rFonts w:ascii="Times New Roman" w:cs="Times New Roman" w:eastAsia="Times New Roman" w:hAnsi="Times New Roman"/>
          <w:sz w:val="22"/>
          <w:szCs w:val="22"/>
        </w:rPr>
        <w:t xml:space="preserve">賴亭穎 (B12303147) · 黃元貞　|　Digital Economy · NTU Spring 2026</w:t>
      </w:r>
    </w:p>
    <w:p>
      <w:pPr>
        <w:pStyle w:val="Heading1"/>
        <w:spacing w:after="160" w:before="320"/>
      </w:pPr>
      <w:r>
        <w:rPr>
          <w:rFonts w:ascii="Times New Roman" w:cs="Times New Roman" w:eastAsia="Times New Roman" w:hAnsi="Times New Roman"/>
          <w:b/>
          <w:bCs/>
          <w:sz w:val="32"/>
          <w:szCs w:val="32"/>
        </w:rPr>
        <w:t xml:space="preserve">一、Introduction</w:t>
      </w:r>
    </w:p>
    <w:p>
      <w:pPr>
        <w:pStyle w:val="Heading2"/>
        <w:spacing w:after="120" w:before="240"/>
      </w:pPr>
      <w:r>
        <w:rPr>
          <w:rFonts w:ascii="Times New Roman" w:cs="Times New Roman" w:eastAsia="Times New Roman" w:hAnsi="Times New Roman"/>
          <w:b/>
          <w:bCs/>
          <w:sz w:val="28"/>
          <w:szCs w:val="28"/>
        </w:rPr>
        <w:t xml:space="preserve">1.1 市場背景</w:t>
      </w:r>
    </w:p>
    <w:p>
      <w:pPr>
        <w:spacing w:after="160" w:line="360"/>
        <w:jc w:val="both"/>
      </w:pPr>
      <w:r>
        <w:rPr>
          <w:rFonts w:ascii="Times New Roman" w:cs="Times New Roman" w:eastAsia="Times New Roman" w:hAnsi="Times New Roman"/>
          <w:sz w:val="24"/>
          <w:szCs w:val="24"/>
        </w:rPr>
        <w:t xml:space="preserve">大型語言模型（Large Language Models, LLMs）是一類基於大規模文本資料訓練之人工智慧系統，旨在建構並捕捉人類語言的統計結構。此類模型多以 Transformer 架構為基礎（Vaswani et al., 2017），具備執行多種自然語言處理任務的能力，包括文本生成、摘要、翻譯及問答等。由於其高度通用性，LLMs 已逐漸被視為當代人工智慧領域中的關鍵基礎技術之一。</w:t>
      </w:r>
    </w:p>
    <w:p>
      <w:pPr>
        <w:spacing w:after="160" w:line="360"/>
        <w:jc w:val="both"/>
      </w:pPr>
      <w:r>
        <w:rPr>
          <w:rFonts w:ascii="Times New Roman" w:cs="Times New Roman" w:eastAsia="Times New Roman" w:hAnsi="Times New Roman"/>
          <w:sz w:val="24"/>
          <w:szCs w:val="24"/>
        </w:rPr>
        <w:t xml:space="preserve">近年來，LLMs 在技術能力與應用普及度方面均呈現快速成長。隨著運算資源的提升、大規模資料集的可得性增加，以及訓練方法的持續優化，模型表現顯著提升。同時，生成式人工智慧工具已被廣泛導入個人與組織的日常工作流程中（Menlo Ventures, 2025），顯示 LLM 已由研究導向技術逐步轉變為廣泛應用的數位基礎設施。</w:t>
      </w:r>
    </w:p>
    <w:p>
      <w:pPr>
        <w:spacing w:after="160" w:line="360"/>
        <w:jc w:val="both"/>
      </w:pPr>
      <w:r>
        <w:rPr>
          <w:rFonts w:ascii="Times New Roman" w:cs="Times New Roman" w:eastAsia="Times New Roman" w:hAnsi="Times New Roman"/>
          <w:sz w:val="24"/>
          <w:szCs w:val="24"/>
        </w:rPr>
        <w:t xml:space="preserve">目前，LLM 的主要應用仍以企業對消費者（B2C）場景為主，例如聊天機器人、個人助理及內容生成工具。然而，企業對企業（B2B）市場的需求亦正快速興起；越來越多企業開始探索將 LLM 應用於內部營運流程，例如客戶服務自動化、知識管理系統及決策支援工具，顯示其應用正逐步向企業層級擴展（Menlo Ventures, 2025）。</w:t>
      </w:r>
    </w:p>
    <w:p>
      <w:pPr>
        <w:spacing w:after="160" w:line="360"/>
        <w:jc w:val="both"/>
      </w:pPr>
      <w:r>
        <w:rPr>
          <w:rFonts w:ascii="Times New Roman" w:cs="Times New Roman" w:eastAsia="Times New Roman" w:hAnsi="Times New Roman"/>
          <w:sz w:val="24"/>
          <w:szCs w:val="24"/>
        </w:rPr>
        <w:t xml:space="preserve">企業導入 LLM 的主要動機在於其能有效提升營運效率並創造策略價值。LLM 可自動化重複性認知工作、降低資訊處理成本，並強化資料導向決策能力。在競爭日益激烈的環境下，導入 LLM 已逐漸成為企業推動數位轉型與維持競爭優勢的重要關鍵（Demirer et al., 2025）。</w:t>
      </w:r>
    </w:p>
    <w:p>
      <w:pPr>
        <w:spacing w:after="160" w:line="360"/>
        <w:jc w:val="both"/>
      </w:pPr>
      <w:r>
        <w:rPr>
          <w:rFonts w:ascii="Times New Roman" w:cs="Times New Roman" w:eastAsia="Times New Roman" w:hAnsi="Times New Roman"/>
          <w:sz w:val="24"/>
          <w:szCs w:val="24"/>
        </w:rPr>
        <w:t xml:space="preserve">在當前市場中，LLM 技術主要由數家大型科技公司主導，包括 OpenAI（GPT 系列）、Google（Gemini 系列）、Anthropic（Claude 系列）以及 Meta（Llama 系列）。這些企業在模型效能、擴展性、成本效率與生態系整合等面向展開競爭，並共同形塑 LLM 產業的發展方向。</w:t>
      </w:r>
    </w:p>
    <w:p>
      <w:pPr>
        <w:pStyle w:val="Heading2"/>
        <w:spacing w:after="120" w:before="240"/>
      </w:pPr>
      <w:r>
        <w:rPr>
          <w:rFonts w:ascii="Times New Roman" w:cs="Times New Roman" w:eastAsia="Times New Roman" w:hAnsi="Times New Roman"/>
          <w:b/>
          <w:bCs/>
          <w:sz w:val="28"/>
          <w:szCs w:val="28"/>
        </w:rPr>
        <w:t xml:space="preserve">1.2 研究對象與研究問題</w:t>
      </w:r>
    </w:p>
    <w:p>
      <w:pPr>
        <w:spacing w:after="160" w:line="360"/>
        <w:jc w:val="both"/>
      </w:pPr>
      <w:r>
        <w:rPr>
          <w:rFonts w:ascii="Times New Roman" w:cs="Times New Roman" w:eastAsia="Times New Roman" w:hAnsi="Times New Roman"/>
          <w:sz w:val="24"/>
          <w:szCs w:val="24"/>
        </w:rPr>
        <w:t xml:space="preserve">承接前述大型語言模型（LLMs）的整體發展脈絡，本研究聚焦於兩家具有代表性的企業導向 LLM 公司：Anthropic 與 Cohere。兩者皆處於快速成長的生成式 AI 產業中，且主要以企業客戶為目標市場，然而在技術定位、商業模式與成長策略上呈現出顯著差異。</w:t>
      </w:r>
    </w:p>
    <w:p>
      <w:pPr>
        <w:spacing w:after="160" w:line="360"/>
        <w:jc w:val="both"/>
      </w:pPr>
      <w:r>
        <w:rPr>
          <w:rFonts w:ascii="Times New Roman" w:cs="Times New Roman" w:eastAsia="Times New Roman" w:hAnsi="Times New Roman"/>
          <w:sz w:val="24"/>
          <w:szCs w:val="24"/>
        </w:rPr>
        <w:t xml:space="preserve">Anthropic 成立於 2021 年，由前 OpenAI 核心成員創立，其定位為一間前沿人工智慧實驗室，並強調 AI 安全性與對齊（alignment）。其提出之「Constitutional AI」方法（Bai et al., 2022），體現對模型可控性與負責任部署的重視。在策略上，Anthropic 採取高度資本密集的發展模式（Sacra, 2026a），大規模投入資源於模型能力提升，並透過主流雲端平台進行廣泛分發。</w:t>
      </w:r>
    </w:p>
    <w:p>
      <w:pPr>
        <w:pStyle w:val="Heading3"/>
        <w:spacing w:after="100" w:before="200"/>
      </w:pPr>
      <w:r>
        <w:rPr>
          <w:rFonts w:ascii="Times New Roman" w:cs="Times New Roman" w:eastAsia="Times New Roman" w:hAnsi="Times New Roman"/>
          <w:b/>
          <w:bCs/>
          <w:sz w:val="26"/>
          <w:szCs w:val="26"/>
        </w:rPr>
        <w:t xml:space="preserve">名詞釋義：對齊、Constitutional AI 與 Responsible Scaling Policy</w:t>
      </w:r>
    </w:p>
    <w:p>
      <w:pPr>
        <w:spacing w:after="160" w:line="360"/>
        <w:jc w:val="both"/>
      </w:pPr>
      <w:r>
        <w:rPr>
          <w:rFonts w:ascii="Times New Roman" w:cs="Times New Roman" w:eastAsia="Times New Roman" w:hAnsi="Times New Roman"/>
          <w:sz w:val="24"/>
          <w:szCs w:val="24"/>
        </w:rPr>
        <w:t xml:space="preserve">由於本研究後續將反覆使用「對齊（alignment）」、「Constitutional AI」與「Responsible Scaling Policy」三個密切相關但概念層次不同的術語，此處先予以區辨：</w:t>
      </w:r>
    </w:p>
    <w:p>
      <w:pPr>
        <w:spacing w:after="160" w:line="360"/>
        <w:jc w:val="both"/>
      </w:pPr>
      <w:r>
        <w:rPr>
          <w:rFonts w:ascii="Times New Roman" w:cs="Times New Roman" w:eastAsia="Times New Roman" w:hAnsi="Times New Roman"/>
          <w:sz w:val="24"/>
          <w:szCs w:val="24"/>
        </w:rPr>
        <w:t xml:space="preserve">首先，對齊（alignment）係 AI 安全領域的核心研究問題，指如何使 AI 系統的目標、行為與決策過程，能夠與人類的價值、意圖與長期利益保持一致（Russell, 2019; Christiano et al., 2017）。對齊問題之所以具有挑戰性，在於即使模型能在訓練資料上表現優異，仍可能在未見過的情境中產出與設計者原意不符、甚至有害的回應。對齊研究因此涵蓋廣泛方法，從強化學習、可解釋性、規範設計到評估機制皆屬其範疇。</w:t>
      </w:r>
    </w:p>
    <w:p>
      <w:pPr>
        <w:spacing w:after="160" w:line="360"/>
        <w:jc w:val="both"/>
      </w:pPr>
      <w:r>
        <w:rPr>
          <w:rFonts w:ascii="Times New Roman" w:cs="Times New Roman" w:eastAsia="Times New Roman" w:hAnsi="Times New Roman"/>
          <w:sz w:val="24"/>
          <w:szCs w:val="24"/>
        </w:rPr>
        <w:t xml:space="preserve">其次，Constitutional AI 為 Anthropic 於 2022 年提出之具體訓練方法（Bai et al., 2022），可視為對齊問題的一種實踐路徑。傳統上，企業多透過「以人類反饋進行強化學習」（Reinforcement Learning from Human Feedback, RLHF）來修正模型行為（Ouyang et al., 2022），但此方法存在標註者一致性低、規模化成本高等限制。Constitutional AI 改以一套明文規範（即「憲法」）作為模型自我評估與修正的標準：訓練過程中，模型先依憲法原則對自身回應進行批判與重寫，再由 AI 自身產生的偏好標註資料進行強化學習（即 RLAIF, Reinforcement Learning from AI Feedback）。此方法的兩項策略意涵為：第一，將原本封閉於企業內部的安全標準轉化為可公開檢視的規範文件；第二，使「安全行為」成為一種可被驗證、可被外部研究者重現的訓練成果，而非僅是品牌承諾。</w:t>
      </w:r>
    </w:p>
    <w:p>
      <w:pPr>
        <w:spacing w:after="160" w:line="360"/>
        <w:jc w:val="both"/>
      </w:pPr>
      <w:r>
        <w:rPr>
          <w:rFonts w:ascii="Times New Roman" w:cs="Times New Roman" w:eastAsia="Times New Roman" w:hAnsi="Times New Roman"/>
          <w:sz w:val="24"/>
          <w:szCs w:val="24"/>
        </w:rPr>
        <w:t xml:space="preserve">第三，Responsible Scaling Policy（負責任擴展政策，RSP）則是 Anthropic 對外公開的風險治理框架（Anthropic, 2024），將模型依潛在危害程度自評為 ASL-1 至 ASL-4 四個等級（AI Safety Level）。各等級對應不同的部署限制與安全要求：例如 ASL-3 級模型需具備嚴格的權重保護與額外的部署門檻；ASL-4 級則須暫停部署直至有相對應的對齊技術。Anthropic 將 Claude Opus 4 系列自評為 ASL-3，意即主動接受對應限制，這在資訊經濟學的語言中是典型的「成本訊號」（costly signal, Spence, 1973）：低品質供應商無法承擔此種自我設限的成本，因此客戶可信任此一訊號。</w:t>
      </w:r>
    </w:p>
    <w:p>
      <w:pPr>
        <w:spacing w:after="160" w:line="360"/>
        <w:jc w:val="both"/>
      </w:pPr>
      <w:r>
        <w:rPr>
          <w:rFonts w:ascii="Times New Roman" w:cs="Times New Roman" w:eastAsia="Times New Roman" w:hAnsi="Times New Roman"/>
          <w:sz w:val="24"/>
          <w:szCs w:val="24"/>
        </w:rPr>
        <w:t xml:space="preserve">綜合而言，三者構成由抽象到具體的層次：對齊是研究問題、Constitutional AI 是其中一種具體訓練方法、RSP 則是將此方法擴展為對外的治理承諾。Anthropic 將「模型可控性」這一抽象概念，藉由 Constitutional AI 在訓練層面落地，並透過 RSP 在治理層面公開化，使其成為企業客戶可實際評估的品質維度，而非僅是行銷敘事。</w:t>
      </w:r>
    </w:p>
    <w:p>
      <w:pPr>
        <w:spacing w:after="160" w:line="360"/>
        <w:jc w:val="both"/>
      </w:pPr>
      <w:r>
        <w:rPr>
          <w:rFonts w:ascii="Times New Roman" w:cs="Times New Roman" w:eastAsia="Times New Roman" w:hAnsi="Times New Roman"/>
          <w:sz w:val="24"/>
          <w:szCs w:val="24"/>
        </w:rPr>
        <w:t xml:space="preserve">相較之下，Cohere 成立於 2019 年，其創辦團隊包含 Transformer 架構的共同作者之一（Vaswani et al., 2017），採取較為資本效率導向的策略。Cohere 並未單純以模型性能競爭為核心，而是強調部署彈性、多語言能力與資料主權（data sovereignty）。其商業模式更深度整合於企業軟體生態系中，常見於嵌入企業資源規劃（ERP）與客戶關係管理（CRM）系統（Cohere, 2025a）。此種定位使其能透過實務應用性與法規相容性建立差異化優勢，而非單純依賴模型規模。</w:t>
      </w:r>
    </w:p>
    <w:p>
      <w:pPr>
        <w:spacing w:after="160" w:line="360"/>
        <w:jc w:val="both"/>
      </w:pPr>
      <w:r>
        <w:rPr>
          <w:rFonts w:ascii="Times New Roman" w:cs="Times New Roman" w:eastAsia="Times New Roman" w:hAnsi="Times New Roman"/>
          <w:sz w:val="24"/>
          <w:szCs w:val="24"/>
        </w:rPr>
        <w:t xml:space="preserve">兩家公司之對比凸顯出 LLM 產業發展中的核心問題：競爭優勢究竟主要來自於規模與技術領先，或是來自於聚焦且高效率的策略選擇。值得注意的是，儘管兩者處於同一市場，其在規模上呈現顯著差距——根據 Sacra（2026a, 2026b）資料，Anthropic 2026 年第一季年化營收（ARR）約為 300 億美元，而 Cohere 2025 年底約為 2.4 億美元，兩者相差逾百倍。此一差異提供了一個具體的實證場域，使本研究得以探討 LLM 市場是否呈現「贏者全拿」（winner-take-all）特性，或存在多元策略並存的均衡狀態。</w:t>
      </w:r>
    </w:p>
    <w:p>
      <w:pPr>
        <w:spacing w:after="160" w:line="360"/>
        <w:jc w:val="both"/>
      </w:pPr>
      <w:r>
        <w:rPr>
          <w:rFonts w:ascii="Times New Roman" w:cs="Times New Roman" w:eastAsia="Times New Roman" w:hAnsi="Times New Roman"/>
          <w:sz w:val="24"/>
          <w:szCs w:val="24"/>
        </w:rPr>
        <w:t xml:space="preserve">因此，本研究透過比較這兩家公司，旨在系統性分析不同策略選擇（例如資本配置、產品定位與生態系整合）如何影響企業在新興企業級 LLM 市場中的競爭表現。</w:t>
      </w:r>
    </w:p>
    <w:p>
      <w:pPr>
        <w:pStyle w:val="Heading1"/>
        <w:spacing w:after="160" w:before="320"/>
      </w:pPr>
      <w:r>
        <w:rPr>
          <w:rFonts w:ascii="Times New Roman" w:cs="Times New Roman" w:eastAsia="Times New Roman" w:hAnsi="Times New Roman"/>
          <w:b/>
          <w:bCs/>
          <w:sz w:val="32"/>
          <w:szCs w:val="32"/>
        </w:rPr>
        <w:t xml:space="preserve">二、理論框架：產品差異化</w:t>
      </w:r>
    </w:p>
    <w:p>
      <w:pPr>
        <w:spacing w:after="160" w:line="360"/>
        <w:jc w:val="both"/>
      </w:pPr>
      <w:r>
        <w:rPr>
          <w:rFonts w:ascii="Times New Roman" w:cs="Times New Roman" w:eastAsia="Times New Roman" w:hAnsi="Times New Roman"/>
          <w:sz w:val="24"/>
          <w:szCs w:val="24"/>
        </w:rPr>
        <w:t xml:space="preserve">在產業組織理論中，產品差異化（product differentiation）係指企業透過改變產品特徵，使其在消費者眼中與競爭對手產品產生可辨識差異的策略（Tirole, 1988）。此一差異可來自品質、功能、設計或其他屬性，並進一步影響消費者選擇與市場競爭結果。產品差異化之重要性在於其能降低價格競爭強度，使企業在一定程度上擁有市場力（market power），進而維持正利潤。Shaked 與 Sutton（1982）指出，在產品具有品質差異的市場中，企業可透過選擇產品規格（如品質）與價格進行策略互動，使競爭均衡不再落入完全競爭的價格壓縮結果，而能形成穩定的差異化均衡。同時，Hotelling（1929）亦指出，即使產品價格存在差異，消費者仍可能基於偏好而選擇不同供應商，顯示市場需求本質上具有分散性，這也是產品差異化得以成立的重要基礎。</w:t>
      </w:r>
    </w:p>
    <w:p>
      <w:pPr>
        <w:spacing w:after="160" w:line="360"/>
        <w:jc w:val="both"/>
      </w:pPr>
      <w:r>
        <w:rPr>
          <w:rFonts w:ascii="Times New Roman" w:cs="Times New Roman" w:eastAsia="Times New Roman" w:hAnsi="Times New Roman"/>
          <w:sz w:val="24"/>
          <w:szCs w:val="24"/>
        </w:rPr>
        <w:t xml:space="preserve">在大型語言模型（LLMs）市場中，討論產品差異化具有特別重要性。傳統上，若技術產品趨於同質化，市場競爭可能導致價格快速下降並壓縮利潤；然而，近期研究顯示 LLM 市場並非完全同質。Demirer 等人（2025）指出，不同模型在「智能程度」（intelligence）與應用場景之間存在顯著差異，且沒有單一模型能在所有使用情境中佔據主導地位，顯示市場同時存在多種差異化競爭機制。此外，Fradkin（2025）以 OpenRouter 平台資料分析後發現，新模型的推出並不總是完全取代既有模型，而是呈現部分替代與市場擴張並存的現象，進一步支持 LLM 市場具有差異化需求的特徵。因此，理解 LLM 的產品差異化，不僅有助於解釋市場結構，也有助於分析不同企業策略如何影響競爭優勢。</w:t>
      </w:r>
    </w:p>
    <w:p>
      <w:pPr>
        <w:spacing w:after="160" w:line="360"/>
        <w:jc w:val="both"/>
      </w:pPr>
      <w:r>
        <w:rPr>
          <w:rFonts w:ascii="Times New Roman" w:cs="Times New Roman" w:eastAsia="Times New Roman" w:hAnsi="Times New Roman"/>
          <w:sz w:val="24"/>
          <w:szCs w:val="24"/>
        </w:rPr>
        <w:t xml:space="preserve">在理論上，產品差異化通常可區分為「垂直差異化」（vertical differentiation）與「水平差異化」（horizontal differentiation）兩種類型，以下分別說明之。</w:t>
      </w:r>
    </w:p>
    <w:p>
      <w:pPr>
        <w:pStyle w:val="Heading2"/>
        <w:spacing w:after="120" w:before="240"/>
      </w:pPr>
      <w:r>
        <w:rPr>
          <w:rFonts w:ascii="Times New Roman" w:cs="Times New Roman" w:eastAsia="Times New Roman" w:hAnsi="Times New Roman"/>
          <w:b/>
          <w:bCs/>
          <w:sz w:val="28"/>
          <w:szCs w:val="28"/>
        </w:rPr>
        <w:t xml:space="preserve">2.1 垂直差異化：性能前沿的競爭群組</w:t>
      </w:r>
    </w:p>
    <w:p>
      <w:pPr>
        <w:spacing w:after="160" w:line="360"/>
        <w:jc w:val="both"/>
      </w:pPr>
      <w:r>
        <w:rPr>
          <w:rFonts w:ascii="Times New Roman" w:cs="Times New Roman" w:eastAsia="Times New Roman" w:hAnsi="Times New Roman"/>
          <w:sz w:val="24"/>
          <w:szCs w:val="24"/>
        </w:rPr>
        <w:t xml:space="preserve">垂直差異化係指產品之間存在一致排序的品質差異，即所有消費者對產品優劣具有相同判斷，例如高品質產品在所有條件相同下均優於低品質產品（Shaked &amp; Sutton, 1982）。在 Shaked 與 Sutton（1982）的模型中，企業透過選擇不同品質水準來形成市場分層，並使不同所得或偏好的消費者分布於不同產品之間。此種差異化在 LLM 市場中可對應為模型性能（如 benchmark 表現、推理能力或上下文長度）的差異。</w:t>
      </w:r>
    </w:p>
    <w:p>
      <w:pPr>
        <w:spacing w:after="160" w:line="360"/>
        <w:jc w:val="both"/>
      </w:pPr>
      <w:r>
        <w:rPr>
          <w:rFonts w:ascii="Times New Roman" w:cs="Times New Roman" w:eastAsia="Times New Roman" w:hAnsi="Times New Roman"/>
          <w:sz w:val="24"/>
          <w:szCs w:val="24"/>
        </w:rPr>
        <w:t xml:space="preserve">在國際 LLM 市場中，採取垂直差異化策略的代表企業構成一個「前沿模型競爭群組」，主要包括三家公司：</w:t>
      </w:r>
    </w:p>
    <w:p>
      <w:pPr>
        <w:spacing w:after="160" w:line="360"/>
        <w:jc w:val="both"/>
      </w:pPr>
      <w:r>
        <w:rPr>
          <w:rFonts w:ascii="Times New Roman" w:cs="Times New Roman" w:eastAsia="Times New Roman" w:hAnsi="Times New Roman"/>
          <w:sz w:val="24"/>
          <w:szCs w:val="24"/>
        </w:rPr>
        <w:t xml:space="preserve">（一）OpenAI（旗艦產品 GPT 系列、ChatGPT）：以 GPT-3、GPT-4、GPT-5 系列推動產業基準的演進，2025 年推出 GPT-5.x 系列為主力，2026 年推出 GPT-5.4 與企業客戶 1,800 萬付費用戶之 ChatGPT Enterprise（OpenAI, 2025; Sacra, 2026c）。OpenAI 以 SWE-bench、GPQA 等學術基準持續展示其推理能力，採取按 token 計費的 API 模式並輔以 ChatGPT 訂閱業務。</w:t>
      </w:r>
    </w:p>
    <w:p>
      <w:pPr>
        <w:spacing w:after="160" w:line="360"/>
        <w:jc w:val="both"/>
      </w:pPr>
      <w:r>
        <w:rPr>
          <w:rFonts w:ascii="Times New Roman" w:cs="Times New Roman" w:eastAsia="Times New Roman" w:hAnsi="Times New Roman"/>
          <w:sz w:val="24"/>
          <w:szCs w:val="24"/>
        </w:rPr>
        <w:t xml:space="preserve">（二）Google（旗艦產品 Gemini 系列）：自 2023 年發表 Gemini 起，於 2025 年推出 Gemini 2.5 Pro，2026 年迭代至 Gemini 3.1 Pro。Google 透過 Gemini 整合至 Google Workspace、Android 與 Pixel 裝置生態系（Google DeepMind, 2025），並透過 Vertex AI 提供企業 API。</w:t>
      </w:r>
    </w:p>
    <w:p>
      <w:pPr>
        <w:spacing w:after="160" w:line="360"/>
        <w:jc w:val="both"/>
      </w:pPr>
      <w:r>
        <w:rPr>
          <w:rFonts w:ascii="Times New Roman" w:cs="Times New Roman" w:eastAsia="Times New Roman" w:hAnsi="Times New Roman"/>
          <w:sz w:val="24"/>
          <w:szCs w:val="24"/>
        </w:rPr>
        <w:t xml:space="preserve">（三）Anthropic（旗艦產品 Claude 系列）：本研究主要分析對象，於 2026 年 4 月推出 Claude Opus 4.7，在 SWE-bench Verified 達 87.6%（Anthropic, 2026a）。</w:t>
      </w:r>
    </w:p>
    <w:p>
      <w:pPr>
        <w:spacing w:after="160" w:line="360"/>
        <w:jc w:val="both"/>
      </w:pPr>
      <w:r>
        <w:rPr>
          <w:rFonts w:ascii="Times New Roman" w:cs="Times New Roman" w:eastAsia="Times New Roman" w:hAnsi="Times New Roman"/>
          <w:sz w:val="24"/>
          <w:szCs w:val="24"/>
        </w:rPr>
        <w:t xml:space="preserve">此三家公司共同構成 LLM 市場中以垂直差異化為主軸的競爭群組（competitive group, Porter, 1980）。其競爭邏輯為：（一）以學術基準分數作為品質訊號；（二）以高頻率版本迭代維持「前沿」地位；（三）價格雖普遍高於同業但仍維持市場需求，反映客戶對最高層級性能的支付意願。本研究選擇 Anthropic 作為垂直差異化策略的代表案例，原因在於其相較於 OpenAI 與 Google 具備兩項相對獨特的策略選擇：第一，將「安全可信度」明確納入垂直品質維度；第二，以 Public Benefit Corporation（PBC）治理結構與 Long-Term Benefit Trust 強化對齊承諾的可信度（Anthropic, 2023）。</w:t>
      </w:r>
    </w:p>
    <w:p>
      <w:pPr>
        <w:pStyle w:val="Heading2"/>
        <w:spacing w:after="120" w:before="240"/>
      </w:pPr>
      <w:r>
        <w:rPr>
          <w:rFonts w:ascii="Times New Roman" w:cs="Times New Roman" w:eastAsia="Times New Roman" w:hAnsi="Times New Roman"/>
          <w:b/>
          <w:bCs/>
          <w:sz w:val="28"/>
          <w:szCs w:val="28"/>
        </w:rPr>
        <w:t xml:space="preserve">2.2 水平差異化：部署控制與資料主權的競爭群組</w:t>
      </w:r>
    </w:p>
    <w:p>
      <w:pPr>
        <w:spacing w:after="160" w:line="360"/>
        <w:jc w:val="both"/>
      </w:pPr>
      <w:r>
        <w:rPr>
          <w:rFonts w:ascii="Times New Roman" w:cs="Times New Roman" w:eastAsia="Times New Roman" w:hAnsi="Times New Roman"/>
          <w:sz w:val="24"/>
          <w:szCs w:val="24"/>
        </w:rPr>
        <w:t xml:space="preserve">相對地，水平差異化指在產品品質相近的情況下，消費者因偏好差異而對產品產生不同選擇，並不存在一致的「誰更好」排序（Hotelling, 1929）。Hotelling（1929）的空間競爭模型顯示，企業可透過在產品特徵空間中的不同定位（如地理位置或產品特性）來吸引不同消費者群體。在 LLM 市場中，這類差異化可能體現在部署方式、資料隱私、系統整合能力或特定應用場景適配性等面向，使不同企業客戶即使面對性能相近的模型，仍會基於需求差異做出不同選擇。</w:t>
      </w:r>
    </w:p>
    <w:p>
      <w:pPr>
        <w:spacing w:after="160" w:line="360"/>
        <w:jc w:val="both"/>
      </w:pPr>
      <w:r>
        <w:rPr>
          <w:rFonts w:ascii="Times New Roman" w:cs="Times New Roman" w:eastAsia="Times New Roman" w:hAnsi="Times New Roman"/>
          <w:sz w:val="24"/>
          <w:szCs w:val="24"/>
        </w:rPr>
        <w:t xml:space="preserve">以「部署控制 + 資料主權」為差異化主軸的企業構成另一個競爭群組，其代表企業包括：</w:t>
      </w:r>
    </w:p>
    <w:p>
      <w:pPr>
        <w:spacing w:after="160" w:line="360"/>
        <w:jc w:val="both"/>
      </w:pPr>
      <w:r>
        <w:rPr>
          <w:rFonts w:ascii="Times New Roman" w:cs="Times New Roman" w:eastAsia="Times New Roman" w:hAnsi="Times New Roman"/>
          <w:sz w:val="24"/>
          <w:szCs w:val="24"/>
        </w:rPr>
        <w:t xml:space="preserve">（一）Cohere：本研究主要分析對象，總部位於加拿大多倫多，主打 Model Vault（VPC + on-premise 部署）與多雲中立性（Cohere, 2025b）。</w:t>
      </w:r>
    </w:p>
    <w:p>
      <w:pPr>
        <w:spacing w:after="160" w:line="360"/>
        <w:jc w:val="both"/>
      </w:pPr>
      <w:r>
        <w:rPr>
          <w:rFonts w:ascii="Times New Roman" w:cs="Times New Roman" w:eastAsia="Times New Roman" w:hAnsi="Times New Roman"/>
          <w:sz w:val="24"/>
          <w:szCs w:val="24"/>
        </w:rPr>
        <w:t xml:space="preserve">（二）Mistral AI（法國）：歐洲最具規模的 LLM 公司之一，主打開源權重（open weights）模型與歐洲資料主權，旗艦產品包括 Mistral Large、Mistral Medium 與開源系列 Mixtral；其策略強調歐洲企業可在符合 EU AI Act 與 GDPR 的架構下部署模型（Mistral AI, 2025）。</w:t>
      </w:r>
    </w:p>
    <w:p>
      <w:pPr>
        <w:spacing w:after="160" w:line="360"/>
        <w:jc w:val="both"/>
      </w:pPr>
      <w:r>
        <w:rPr>
          <w:rFonts w:ascii="Times New Roman" w:cs="Times New Roman" w:eastAsia="Times New Roman" w:hAnsi="Times New Roman"/>
          <w:sz w:val="24"/>
          <w:szCs w:val="24"/>
        </w:rPr>
        <w:t xml:space="preserve">（三）Aleph Alpha（德國）：以「主權 AI」（sovereign AI）為核心訴求，主要服務德國與歐盟政府機構，旗艦產品 Luminous 系列強調可解釋性與資料在地化。Aleph Alpha 於 2026 年 4 月與 Cohere 達成併購協議（Cohere, 2026），反映水平差異化策略內部的整合趨勢。</w:t>
      </w:r>
    </w:p>
    <w:p>
      <w:pPr>
        <w:spacing w:after="160" w:line="360"/>
        <w:jc w:val="both"/>
      </w:pPr>
      <w:r>
        <w:rPr>
          <w:rFonts w:ascii="Times New Roman" w:cs="Times New Roman" w:eastAsia="Times New Roman" w:hAnsi="Times New Roman"/>
          <w:sz w:val="24"/>
          <w:szCs w:val="24"/>
        </w:rPr>
        <w:t xml:space="preserve">（四）Databricks DBRX：以「企業內部部署」為差異化重點，DBRX 為開源權重模型，可在客戶自有 Databricks 平台上運行，避免資料外流至第三方 API（Databricks, 2024）。</w:t>
      </w:r>
    </w:p>
    <w:p>
      <w:pPr>
        <w:spacing w:after="160" w:line="360"/>
        <w:jc w:val="both"/>
      </w:pPr>
      <w:r>
        <w:rPr>
          <w:rFonts w:ascii="Times New Roman" w:cs="Times New Roman" w:eastAsia="Times New Roman" w:hAnsi="Times New Roman"/>
          <w:sz w:val="24"/>
          <w:szCs w:val="24"/>
        </w:rPr>
        <w:t xml:space="preserve">（五）IBM watsonx：以企業既有 IT 基礎設施整合為主軸，watsonx 平台支援私有雲與混合雲部署，並強調與 IBM Cloud、Red Hat OpenShift 的整合（IBM, 2024）。</w:t>
      </w:r>
    </w:p>
    <w:p>
      <w:pPr>
        <w:spacing w:after="160" w:line="360"/>
        <w:jc w:val="both"/>
      </w:pPr>
      <w:r>
        <w:rPr>
          <w:rFonts w:ascii="Times New Roman" w:cs="Times New Roman" w:eastAsia="Times New Roman" w:hAnsi="Times New Roman"/>
          <w:sz w:val="24"/>
          <w:szCs w:val="24"/>
        </w:rPr>
        <w:t xml:space="preserve">此一群組的共同策略邏輯為：（一）不以「最強模型」為訴求，而以部署架構、資料治理與企業整合能力為差異化基礎；（二）目標客戶以高度監管產業（金融、政府、醫療、國防）與大型跨國企業為主；（三）透過提高轉換成本（switching costs）與系統整合深度，建立 customer lock-in。本研究選擇 Cohere 作為水平差異化策略的代表案例，原因在於其相較於 Mistral 與 Aleph Alpha 具備更完整的企業堆疊（Model Vault + North Platform + Embed/Rerank），且相較於 Databricks 與 IBM 等更傳統的企業 IT 公司，Cohere 為純 LLM-native 公司，其策略選擇更能反映「LLM 廠商如何透過水平差異化建立優勢」的核心問題。</w:t>
      </w:r>
    </w:p>
    <w:p>
      <w:pPr>
        <w:spacing w:after="160" w:line="360"/>
        <w:jc w:val="both"/>
      </w:pPr>
      <w:r>
        <w:rPr>
          <w:rFonts w:ascii="Times New Roman" w:cs="Times New Roman" w:eastAsia="Times New Roman" w:hAnsi="Times New Roman"/>
          <w:sz w:val="24"/>
          <w:szCs w:val="24"/>
        </w:rPr>
        <w:t xml:space="preserve">綜合而言，LLM 市場並非單純由技術性能主導的競爭，而是同時存在以性能為核心的垂直差異化群組（OpenAI、Google、Anthropic）與以應用情境與企業需求為核心的水平差異化群組（Cohere、Mistral、Aleph Alpha、Databricks、IBM）。此一雙重差異化結構，提供了一個分析不同企業策略定位的理論基礎。以下將進一步透過 Anthropic 與 Cohere 的個案，比較兩者如何分別在垂直與水平差異化中建立競爭優勢。</w:t>
      </w:r>
    </w:p>
    <w:p>
      <w:pPr>
        <w:pStyle w:val="Heading1"/>
        <w:spacing w:after="160" w:before="320"/>
      </w:pPr>
      <w:r>
        <w:rPr>
          <w:rFonts w:ascii="Times New Roman" w:cs="Times New Roman" w:eastAsia="Times New Roman" w:hAnsi="Times New Roman"/>
          <w:b/>
          <w:bCs/>
          <w:sz w:val="32"/>
          <w:szCs w:val="32"/>
        </w:rPr>
        <w:t xml:space="preserve">三、垂直差異化（Vertical Differentiation）與 Anthropic 的產品定位</w:t>
      </w:r>
    </w:p>
    <w:p>
      <w:pPr>
        <w:spacing w:after="160" w:line="360"/>
        <w:jc w:val="both"/>
      </w:pPr>
      <w:r>
        <w:rPr>
          <w:rFonts w:ascii="Times New Roman" w:cs="Times New Roman" w:eastAsia="Times New Roman" w:hAnsi="Times New Roman"/>
          <w:sz w:val="24"/>
          <w:szCs w:val="24"/>
        </w:rPr>
        <w:t xml:space="preserve">在產品差異化理論中，垂直差異化係指產品之間存在可被多數消費者共同排序的品質差異；亦即，在價格相同的條件下，消費者普遍會偏好品質較高的產品（Shaked &amp; Sutton, 1982）。套用至 B2B LLM 市場時，垂直差異化主要體現在模型能力的高低，例如推理能力、程式碼生成能力、長上下文處理能力、多模態理解能力、回應穩定性與安全性等。這些能力並非單純的功能差異，而是會直接影響企業客戶能否將模型導入高價值工作流程之中。</w:t>
      </w:r>
    </w:p>
    <w:p>
      <w:pPr>
        <w:spacing w:after="160" w:line="360"/>
        <w:jc w:val="both"/>
      </w:pPr>
      <w:r>
        <w:rPr>
          <w:rFonts w:ascii="Times New Roman" w:cs="Times New Roman" w:eastAsia="Times New Roman" w:hAnsi="Times New Roman"/>
          <w:sz w:val="24"/>
          <w:szCs w:val="24"/>
        </w:rPr>
        <w:t xml:space="preserve">此一特性使 B2B LLM 市場中的垂直差異化不同於一般消費品市場。在企業應用場景中，模型能力的邊際提升可能帶來顯著的經濟價值。例如，在軟體開發、法律文件分析、醫療資訊整理或企業知識管理等場景中，較高的推理能力與較低的錯誤率可直接轉化為更高的生產力、更低的審核成本與更高的任務完成率。Demirer 等人（2025）亦指出，LLM 市場同時存在水平與垂直差異化，且不同應用類別對模型「智能程度」的需求差異甚大；其中，程式設計等高複雜度任務更依賴接近前沿的模型，而角色扮演、翻譯等場景則可由較低智能層級的模型滿足。換言之，垂直差異化在 B2B 市場中並非所有場景皆等量重要，而是在高風險、高複雜度與高生產力槓桿的任務中最為明顯。</w:t>
      </w:r>
    </w:p>
    <w:p>
      <w:pPr>
        <w:spacing w:after="160" w:line="360"/>
        <w:jc w:val="both"/>
      </w:pPr>
      <w:r>
        <w:rPr>
          <w:rFonts w:ascii="Times New Roman" w:cs="Times New Roman" w:eastAsia="Times New Roman" w:hAnsi="Times New Roman"/>
          <w:sz w:val="24"/>
          <w:szCs w:val="24"/>
        </w:rPr>
        <w:t xml:space="preserve">Anthropic 的策略即高度符合此種垂直差異化邏輯。相較於 Cohere 強調部署彈性、資料主權與雲端中立等水平差異化要素，Anthropic 更明確地將自身定位為前沿模型供應商，其核心價值主張可概括為「最佳性能加上可信安全」。Anthropic 的產品策略可歸納為三個層次：第一，Claude 模型家族追求性能領先；第二，將底層模型能力封裝為具體工作流產品；第三，針對特定產業推出合規化版本。此一產品堆疊顯示，Anthropic 並非僅販售 API token，而是試圖將前沿模型能力轉化為可被企業直接採用的生產力基礎設施。</w:t>
      </w:r>
    </w:p>
    <w:p>
      <w:pPr>
        <w:pStyle w:val="Heading3"/>
        <w:spacing w:after="100" w:before="200"/>
      </w:pPr>
      <w:r>
        <w:rPr>
          <w:rFonts w:ascii="Times New Roman" w:cs="Times New Roman" w:eastAsia="Times New Roman" w:hAnsi="Times New Roman"/>
          <w:b/>
          <w:bCs/>
          <w:sz w:val="26"/>
          <w:szCs w:val="26"/>
        </w:rPr>
        <w:t xml:space="preserve">3.1 模型層：Claude 家族的品質階梯</w:t>
      </w:r>
    </w:p>
    <w:p>
      <w:pPr>
        <w:spacing w:after="160" w:line="360"/>
        <w:jc w:val="both"/>
      </w:pPr>
      <w:r>
        <w:rPr>
          <w:rFonts w:ascii="Times New Roman" w:cs="Times New Roman" w:eastAsia="Times New Roman" w:hAnsi="Times New Roman"/>
          <w:sz w:val="24"/>
          <w:szCs w:val="24"/>
        </w:rPr>
        <w:t xml:space="preserve">首先，在核心模型家族上，Claude 的 Haiku、Sonnet 與 Opus 形成明確的品質階梯（Anthropic, 2026a）。Haiku 對應高吞吐量與成本效率，Sonnet 對應一般企業工作負載中的性能與成本平衡，而 Opus 則作為旗艦模型，承擔最複雜推理、長時程任務與 agentic workflow。此種產品線安排本身即是一種垂直差異化設計：Anthropic 透過不同模型層級區隔企業客戶對速度、成本與能力上限的不同需求，同時將最高階產品定位於性能前沿。Claude Opus 4.7 被定位為旗艦模型，強調推理、長時程任務與程式碼能力；Sonnet 則被定位為主力工作模型，兼顧成本與效能；Haiku 則服務高吞吐量與較低成本任務。這種階層化產品組合使 Anthropic 能在同一品牌體系內進行品質與價格分層，並以旗艦模型維持其技術領先形象。</w:t>
      </w:r>
    </w:p>
    <w:p>
      <w:pPr>
        <w:pStyle w:val="Heading3"/>
        <w:spacing w:after="100" w:before="200"/>
      </w:pPr>
      <w:r>
        <w:rPr>
          <w:rFonts w:ascii="Times New Roman" w:cs="Times New Roman" w:eastAsia="Times New Roman" w:hAnsi="Times New Roman"/>
          <w:b/>
          <w:bCs/>
          <w:sz w:val="26"/>
          <w:szCs w:val="26"/>
        </w:rPr>
        <w:t xml:space="preserve">3.2 產品層：將底層模型能力封裝為具體工作流產品</w:t>
      </w:r>
    </w:p>
    <w:p>
      <w:pPr>
        <w:spacing w:after="160" w:line="360"/>
        <w:jc w:val="both"/>
      </w:pPr>
      <w:r>
        <w:rPr>
          <w:rFonts w:ascii="Times New Roman" w:cs="Times New Roman" w:eastAsia="Times New Roman" w:hAnsi="Times New Roman"/>
          <w:sz w:val="24"/>
          <w:szCs w:val="24"/>
        </w:rPr>
        <w:t xml:space="preserve">其次，Anthropic 的垂直差異化並不僅止於模型本身，而是進一步延伸至工作流產品。所謂「工作流封裝」係指將模型能力直接打包為解決特定任務的應用程式或代理系統，使企業客戶不再需要自行設計提示詞、串接工具或設計後端流程，而能直接以「成品」的形式採用。此種設計顯示 Anthropic 已將自身從「token 供應商」升級為「企業工作流平台」。具體例子包括：</w:t>
      </w:r>
    </w:p>
    <w:p>
      <w:pPr>
        <w:spacing w:after="160" w:line="360"/>
        <w:jc w:val="both"/>
      </w:pPr>
      <w:r>
        <w:rPr>
          <w:rFonts w:ascii="Times New Roman" w:cs="Times New Roman" w:eastAsia="Times New Roman" w:hAnsi="Times New Roman"/>
          <w:sz w:val="24"/>
          <w:szCs w:val="24"/>
        </w:rPr>
        <w:t xml:space="preserve">（一）Claude Code 是其中最具代表性的工作流產品。相較於一般聊天介面，Claude Code 將模型能力嵌入程式開發流程，是一個指令列（CLI）介面下的 agentic coding system，能參與跨檔案修改、程式碼重構、測試生成與長時程開發任務。Claude Code 自 2025 年 5 月公開後迅速擴張，於 2025 年 11 月即達年化營收 10 億美元（Anthropic 主張為企業軟體史上最快達此里程碑的產品），至 2026 年 2 月進一步增至 25 億美元（Sacra, 2026a）。其已具名用戶包括 Netflix、Spotify、KPMG、L'Oréal 與 Salesforce 等。</w:t>
      </w:r>
    </w:p>
    <w:p>
      <w:pPr>
        <w:spacing w:after="160" w:line="360"/>
        <w:jc w:val="both"/>
      </w:pPr>
      <w:r>
        <w:rPr>
          <w:rFonts w:ascii="Times New Roman" w:cs="Times New Roman" w:eastAsia="Times New Roman" w:hAnsi="Times New Roman"/>
          <w:sz w:val="24"/>
          <w:szCs w:val="24"/>
        </w:rPr>
        <w:t xml:space="preserve">（二）Cowork 為 2026 年 1 月內測、4 月正式於 macOS 與 Windows 上市的桌面知識工作 agent。其目標客群並非工程師，而是法律、銷售、財務等非工程知識工作者，旨在將 Claude Code 在開發者工作流中的成功經驗，擴展到一般企業流程自動化。Cowork 由 4 名工程師於 10 天內完成，且其大多數程式碼由 Claude Code 自身產出，公司將此作為「AI 寫 AI」的代表案例（Anthropic, 2026b）。</w:t>
      </w:r>
    </w:p>
    <w:p>
      <w:pPr>
        <w:spacing w:after="160" w:line="360"/>
        <w:jc w:val="both"/>
      </w:pPr>
      <w:r>
        <w:rPr>
          <w:rFonts w:ascii="Times New Roman" w:cs="Times New Roman" w:eastAsia="Times New Roman" w:hAnsi="Times New Roman"/>
          <w:sz w:val="24"/>
          <w:szCs w:val="24"/>
        </w:rPr>
        <w:t xml:space="preserve">（三）Claude Design 為 2026 年 4 月與 Opus 4.7 同期推出的視覺內容協作工具，涵蓋設計稿、原型與簡報生成，目標為設計師與產品經理。</w:t>
      </w:r>
    </w:p>
    <w:p>
      <w:pPr>
        <w:spacing w:after="160" w:line="360"/>
        <w:jc w:val="both"/>
      </w:pPr>
      <w:r>
        <w:rPr>
          <w:rFonts w:ascii="Times New Roman" w:cs="Times New Roman" w:eastAsia="Times New Roman" w:hAnsi="Times New Roman"/>
          <w:sz w:val="24"/>
          <w:szCs w:val="24"/>
        </w:rPr>
        <w:t xml:space="preserve">（四）Anthropic Marketplace 為 2026 年 2 月推出的應用層通路，企業客戶可在既有 Anthropic API 預算內購買第三方 Claude-powered 軟體，且 Anthropic 不收取交易抽成。首批夥伴包括 Snowflake、Harvey（法律 AI）、Replit（開發者平台）。此設計使 Anthropic 從「模型供應商」進一步擴展為「以 Claude 為中心的應用生態系」（Anthropic, 2026c）。</w:t>
      </w:r>
    </w:p>
    <w:p>
      <w:pPr>
        <w:spacing w:after="160" w:line="360"/>
        <w:jc w:val="both"/>
      </w:pPr>
      <w:r>
        <w:rPr>
          <w:rFonts w:ascii="Times New Roman" w:cs="Times New Roman" w:eastAsia="Times New Roman" w:hAnsi="Times New Roman"/>
          <w:sz w:val="24"/>
          <w:szCs w:val="24"/>
        </w:rPr>
        <w:t xml:space="preserve">（五）Model Context Protocol（MCP）為 Anthropic 主導的開源 agent 連接標準，至 2026 年 3 月累計安裝突破 9,700 萬次，OpenAI、Google、Meta 等所有主要 AI 廠商均已支援（Anthropic, 2025）。透過設定產業標準，Anthropic 即使在某項基準上輸給開源模型，仍能維持「整合層中介者」的話語權地位。</w:t>
      </w:r>
    </w:p>
    <w:p>
      <w:pPr>
        <w:spacing w:after="160" w:line="360"/>
        <w:jc w:val="both"/>
      </w:pPr>
      <w:r>
        <w:rPr>
          <w:rFonts w:ascii="Times New Roman" w:cs="Times New Roman" w:eastAsia="Times New Roman" w:hAnsi="Times New Roman"/>
          <w:sz w:val="24"/>
          <w:szCs w:val="24"/>
        </w:rPr>
        <w:t xml:space="preserve">上述工作流產品高度依賴底層模型能力，因為一旦推理能力、上下文掌握或工具使用能力不足，工作流產品即難以在企業環境中被信任。因此，Claude Code 與 Cowork 等產品反映 Anthropic 的策略重點：以前沿模型能力支撐高附加價值工作流，並將「模型品質」轉化為「企業流程生產力」。這也使 Anthropic 與 Cohere 形成清楚對照；Cohere 的策略重心在於部署控制與企業系統整合，而 Anthropic 則更傾向於透過高性能模型進入企業核心工作流程。</w:t>
      </w:r>
    </w:p>
    <w:p>
      <w:pPr>
        <w:pStyle w:val="Heading3"/>
        <w:spacing w:after="100" w:before="200"/>
      </w:pPr>
      <w:r>
        <w:rPr>
          <w:rFonts w:ascii="Times New Roman" w:cs="Times New Roman" w:eastAsia="Times New Roman" w:hAnsi="Times New Roman"/>
          <w:b/>
          <w:bCs/>
          <w:sz w:val="26"/>
          <w:szCs w:val="26"/>
        </w:rPr>
        <w:t xml:space="preserve">3.3 信任層：針對特定產業推出合規化版本</w:t>
      </w:r>
    </w:p>
    <w:p>
      <w:pPr>
        <w:spacing w:after="160" w:line="360"/>
        <w:jc w:val="both"/>
      </w:pPr>
      <w:r>
        <w:rPr>
          <w:rFonts w:ascii="Times New Roman" w:cs="Times New Roman" w:eastAsia="Times New Roman" w:hAnsi="Times New Roman"/>
          <w:sz w:val="24"/>
          <w:szCs w:val="24"/>
        </w:rPr>
        <w:t xml:space="preserve">第三，Anthropic 對安全性與對齊的強調，應被理解為垂直差異化的一部分，而非單純的品牌敘事。對企業客戶而言，模型品質不只包含「能力強」，也包含「可預測、可控且可被治理」。尤其在政府、醫療、法律與大型企業場景中，若模型輸出不可控或風險過高，即使 benchmark 表現優異，也難以被部署於實際生產環境。因此，Constitutional AI（Bai et al., 2022）、Responsible Scaling Policy（Anthropic, 2024）以及產業特化版本可被視為 Anthropic 將「安全可信度」納入品質維度的策略。具體的產業特化版本包括：</w:t>
      </w:r>
    </w:p>
    <w:p>
      <w:pPr>
        <w:spacing w:after="160" w:line="360"/>
        <w:jc w:val="both"/>
      </w:pPr>
      <w:r>
        <w:rPr>
          <w:rFonts w:ascii="Times New Roman" w:cs="Times New Roman" w:eastAsia="Times New Roman" w:hAnsi="Times New Roman"/>
          <w:sz w:val="24"/>
          <w:szCs w:val="24"/>
        </w:rPr>
        <w:t xml:space="preserve">（一）Claude Gov 於 2025 年 6 月推出，為美國國安專用版本，透過 Palantir 的 Maven Smart System 與 AWS GovCloud 提供予情報社群（Anthropic, 2025; Palantir, 2025）。Pentagon 對峙事件（2026 年 2 月 Anthropic 拒絕修改合約以解除大規模監控與全自動武器決策的限制）發生前，Anthropic 約占 Palantir 美國政府業務 60% 營收（Reuters, 2026）。</w:t>
      </w:r>
    </w:p>
    <w:p>
      <w:pPr>
        <w:spacing w:after="160" w:line="360"/>
        <w:jc w:val="both"/>
      </w:pPr>
      <w:r>
        <w:rPr>
          <w:rFonts w:ascii="Times New Roman" w:cs="Times New Roman" w:eastAsia="Times New Roman" w:hAnsi="Times New Roman"/>
          <w:sz w:val="24"/>
          <w:szCs w:val="24"/>
        </w:rPr>
        <w:t xml:space="preserve">（二）Claude for Healthcare 為 HIPAA-ready（符合美國醫療保險可攜性與責任法案）的醫療專用版本，內建 ICD-10 疾病編碼、PubMed 醫學文獻、CMS Coverage Database（醫療保險覆蓋資料庫）整合。Anthropic 並於 2026 年 4 月收購 Coefficient Bio，直接整合至製藥研發工作流（Anthropic, 2026d）。已具名客戶包括 Pfizer。</w:t>
      </w:r>
    </w:p>
    <w:p>
      <w:pPr>
        <w:spacing w:after="160" w:line="360"/>
        <w:jc w:val="both"/>
      </w:pPr>
      <w:r>
        <w:rPr>
          <w:rFonts w:ascii="Times New Roman" w:cs="Times New Roman" w:eastAsia="Times New Roman" w:hAnsi="Times New Roman"/>
          <w:sz w:val="24"/>
          <w:szCs w:val="24"/>
        </w:rPr>
        <w:t xml:space="preserve">（三）法律垂直方面，Anthropic 並未推出自有法律專用模型，而是透過扶植合作夥伴 Harvey（建構於 Claude 之上的法律 AI 公司，亦為 Anthropic Marketplace 啟動夥伴）切入法律市場；同時 KPMG 透過 Claude Code 進行專業服務工作流自動化。</w:t>
      </w:r>
    </w:p>
    <w:p>
      <w:pPr>
        <w:spacing w:after="160" w:line="360"/>
        <w:jc w:val="both"/>
      </w:pPr>
      <w:r>
        <w:rPr>
          <w:rFonts w:ascii="Times New Roman" w:cs="Times New Roman" w:eastAsia="Times New Roman" w:hAnsi="Times New Roman"/>
          <w:sz w:val="24"/>
          <w:szCs w:val="24"/>
        </w:rPr>
        <w:t xml:space="preserve">（四）行動端整合方面，Claude 應用整合 Apple Health 與 Android Health Connect（Pro/Max 用戶 beta），支援處方授權、保險申訴、病歷摘要等個人醫療工作流（Anthropic, 2026e）。</w:t>
      </w:r>
    </w:p>
    <w:p>
      <w:pPr>
        <w:spacing w:after="160" w:line="360"/>
        <w:jc w:val="both"/>
      </w:pPr>
      <w:r>
        <w:rPr>
          <w:rFonts w:ascii="Times New Roman" w:cs="Times New Roman" w:eastAsia="Times New Roman" w:hAnsi="Times New Roman"/>
          <w:sz w:val="24"/>
          <w:szCs w:val="24"/>
        </w:rPr>
        <w:t xml:space="preserve">Anthropic 採取垂直差異化策略也體現在產品的市場反饋。Fradkin（2025）使用 OpenRouter 資料觀察 LLM 需求後指出，新模型通常會快速被採用，但不同模型推出後所造成的替代效果並不相同。特別是 Claude Sonnet 3.7 被描述為 Anthropic 於 2025 年推出的 frontier model，並以程式設計與前端開發能力作為主要定位；其推出後，需求變動主要表現為對前一代 Claude Sonnet 3.5 的替代，而非大規模取代其他供應商模型（Fradkin, 2025）。Demirer 等人（2025）亦指出，Anthropic 的 Sonnet 系列主要呈現品牌內部替代，即新一代 Claude 取代前一代 Claude，但對其他供應商模型的影響相對有限；這同時反映 Claude 產品線內部的垂直升級，以及 Anthropic 與其他供應商之間仍存在水平差異。</w:t>
      </w:r>
    </w:p>
    <w:p>
      <w:pPr>
        <w:spacing w:after="160" w:line="360"/>
        <w:jc w:val="both"/>
      </w:pPr>
      <w:r>
        <w:rPr>
          <w:rFonts w:ascii="Times New Roman" w:cs="Times New Roman" w:eastAsia="Times New Roman" w:hAnsi="Times New Roman"/>
          <w:sz w:val="24"/>
          <w:szCs w:val="24"/>
        </w:rPr>
        <w:t xml:space="preserve">因此，Anthropic 的垂直差異化策略可歸納為三個層面。第一，在模型層，Anthropic 透過 Opus、Sonnet 與 Haiku 建立明確的品質階梯，並以 Opus 與 Sonnet 維持其在前沿模型市場中的能見度。第二，在產品層，Anthropic 將模型能力封裝為 Claude Code、Cowork、Claude Design 等工作流產品，使模型性能直接轉化為企業生產力工具。第三，在信任層，Anthropic 將安全性、對齊與合規能力納入「高品質模型」的定義，藉此吸引對可靠性高度敏感的企業與政府客戶。整體而言，Anthropic 確實採取以垂直差異化為核心的競爭策略；其競爭優勢並非來自最低成本或最高部署彈性，而是來自持續維持性能前沿，並將此前沿能力轉化為企業可採用、可治理且可嵌入工作流程的高價值產品組合。</w:t>
      </w:r>
    </w:p>
    <w:p>
      <w:pPr>
        <w:pStyle w:val="Heading3"/>
        <w:spacing w:after="100" w:before="200"/>
      </w:pPr>
      <w:r>
        <w:rPr>
          <w:rFonts w:ascii="Times New Roman" w:cs="Times New Roman" w:eastAsia="Times New Roman" w:hAnsi="Times New Roman"/>
          <w:b/>
          <w:bCs/>
          <w:sz w:val="26"/>
          <w:szCs w:val="26"/>
        </w:rPr>
        <w:t xml:space="preserve">3.4 Anthropic 的部署與資料控制權：水平軸上的「次要存在」</w:t>
      </w:r>
    </w:p>
    <w:p>
      <w:pPr>
        <w:spacing w:after="160" w:line="360"/>
        <w:jc w:val="both"/>
      </w:pPr>
      <w:r>
        <w:rPr>
          <w:rFonts w:ascii="Times New Roman" w:cs="Times New Roman" w:eastAsia="Times New Roman" w:hAnsi="Times New Roman"/>
          <w:sz w:val="24"/>
          <w:szCs w:val="24"/>
        </w:rPr>
        <w:t xml:space="preserve">雖然 Anthropic 的核心策略為垂直差異化，但為避免被誤解為完全忽略部署與資料控制議題，此處需簡要說明其在水平軸上的補充性安排。三項主要設計如下：</w:t>
      </w:r>
    </w:p>
    <w:p>
      <w:pPr>
        <w:spacing w:after="160" w:line="360"/>
        <w:jc w:val="both"/>
      </w:pPr>
      <w:r>
        <w:rPr>
          <w:rFonts w:ascii="Times New Roman" w:cs="Times New Roman" w:eastAsia="Times New Roman" w:hAnsi="Times New Roman"/>
          <w:sz w:val="24"/>
          <w:szCs w:val="24"/>
        </w:rPr>
        <w:t xml:space="preserve">第一，三大雲端共通分發。Claude 為唯一同時於 AWS Bedrock、Microsoft Azure Foundry、Google Vertex AI 三大雲端 marketplace 上架的前沿模型（Anthropic, 2026a）。此舉某種程度上對應 Cohere 的「雲端中立」訴求，但兩者邏輯不同：Cohere 的雲端中立是讓客戶在多家 SaaS 廠商間自由選擇 Cohere 為部署目標，而 Anthropic 的「三大雲端共通」則是「Claude 同時被三個雲端轉售」。這對企業客戶的意義在於：採用 Claude 不需綁定任一雲端，可在客戶既有的雲端架構中直接調用，是「反包覆（counter-envelopment）」的策略保險。</w:t>
      </w:r>
    </w:p>
    <w:p>
      <w:pPr>
        <w:spacing w:after="160" w:line="360"/>
        <w:jc w:val="both"/>
      </w:pPr>
      <w:r>
        <w:rPr>
          <w:rFonts w:ascii="Times New Roman" w:cs="Times New Roman" w:eastAsia="Times New Roman" w:hAnsi="Times New Roman"/>
          <w:sz w:val="24"/>
          <w:szCs w:val="24"/>
        </w:rPr>
        <w:t xml:space="preserve">第二，地理級資料駐留選項。Anthropic API 提供 inference_geo 參數，企業可指定推理在美國境內進行（價格為標準費率的 1.1 倍）；2025 年 10 月於 Google Cloud 上進一步擴展更廣泛的區域選項，可滿足部分歐洲客戶的資料在地化需求（Anthropic, 2025）。</w:t>
      </w:r>
    </w:p>
    <w:p>
      <w:pPr>
        <w:spacing w:after="160" w:line="360"/>
        <w:jc w:val="both"/>
      </w:pPr>
      <w:r>
        <w:rPr>
          <w:rFonts w:ascii="Times New Roman" w:cs="Times New Roman" w:eastAsia="Times New Roman" w:hAnsi="Times New Roman"/>
          <w:sz w:val="24"/>
          <w:szCs w:val="24"/>
        </w:rPr>
        <w:t xml:space="preserve">第三，產業特化版本中的合規架構。如前述 Claude Gov 透過 AWS GovCloud 部署，Claude for Healthcare 內建 HIPAA 合規架構，皆是在「公有雲框架內提供合規選項」的設計。</w:t>
      </w:r>
    </w:p>
    <w:p>
      <w:pPr>
        <w:spacing w:after="160" w:line="360"/>
        <w:jc w:val="both"/>
      </w:pPr>
      <w:r>
        <w:rPr>
          <w:rFonts w:ascii="Times New Roman" w:cs="Times New Roman" w:eastAsia="Times New Roman" w:hAnsi="Times New Roman"/>
          <w:sz w:val="24"/>
          <w:szCs w:val="24"/>
        </w:rPr>
        <w:t xml:space="preserve">然而，這三項設計與 Cohere 的核心差異仍極為明顯：Anthropic 並未提供真正的 on-premise 部署，所有運算仍透過雲端基礎設施進行。對於要求模型運行與資料儲存皆完全在企業內部完成的客戶（如部分金融機構或主權 AI 客戶），Anthropic 並非可行選項。因此，Anthropic 在水平軸上的存在僅為其垂直策略的補充，而非與 Cohere 競爭同一塊客戶區位的主軸。</w:t>
      </w:r>
    </w:p>
    <w:p>
      <w:pPr>
        <w:pStyle w:val="Heading1"/>
        <w:spacing w:after="160" w:before="320"/>
      </w:pPr>
      <w:r>
        <w:rPr>
          <w:rFonts w:ascii="Times New Roman" w:cs="Times New Roman" w:eastAsia="Times New Roman" w:hAnsi="Times New Roman"/>
          <w:b/>
          <w:bCs/>
          <w:sz w:val="32"/>
          <w:szCs w:val="32"/>
        </w:rPr>
        <w:t xml:space="preserve">四、水平差異化（Horizontal Differentiation）與 Cohere 的優勢</w:t>
      </w:r>
    </w:p>
    <w:p>
      <w:pPr>
        <w:spacing w:after="160" w:line="360"/>
        <w:jc w:val="both"/>
      </w:pPr>
      <w:r>
        <w:rPr>
          <w:rFonts w:ascii="Times New Roman" w:cs="Times New Roman" w:eastAsia="Times New Roman" w:hAnsi="Times New Roman"/>
          <w:sz w:val="24"/>
          <w:szCs w:val="24"/>
        </w:rPr>
        <w:t xml:space="preserve">在產品差異化理論中，水平差異化（horizontal differentiation）係指在產品品質或性能相近的情況下，企業透過不同屬性組合以滿足消費者偏好差異的策略（Hotelling, 1929; Tirole, 1988）。相較於垂直差異化強調「誰更好」，水平差異化則著重於「哪一種更符合特定使用情境或需求」。在大型語言模型（LLM）市場中，隨著模型性能逐漸收斂，各供應商開始透過部署方式、資料處理機制與系統整合能力等非性能面向進行差異化，以吸引不同類型的企業客戶（Demirer et al., 2025）。</w:t>
      </w:r>
    </w:p>
    <w:p>
      <w:pPr>
        <w:spacing w:after="160" w:line="360"/>
        <w:jc w:val="both"/>
      </w:pPr>
      <w:r>
        <w:rPr>
          <w:rFonts w:ascii="Times New Roman" w:cs="Times New Roman" w:eastAsia="Times New Roman" w:hAnsi="Times New Roman"/>
          <w:sz w:val="24"/>
          <w:szCs w:val="24"/>
        </w:rPr>
        <w:t xml:space="preserve">在此脈絡下，Anthropic 的水平差異化主要體現在其對安全性與模型可控性的強調，例如透過 Constitutional AI 框架提升模型回應的可預測性與風險控管能力。然而，相較之下，Cohere 將差異化重心進一步從「模型行為控制」延伸至「部署與資料控制權」，更直接回應企業在實務導入過程中的核心痛點（Cohere, 2025a）。</w:t>
      </w:r>
    </w:p>
    <w:p>
      <w:pPr>
        <w:spacing w:after="160" w:line="360"/>
        <w:jc w:val="both"/>
      </w:pPr>
      <w:r>
        <w:rPr>
          <w:rFonts w:ascii="Times New Roman" w:cs="Times New Roman" w:eastAsia="Times New Roman" w:hAnsi="Times New Roman"/>
          <w:sz w:val="24"/>
          <w:szCs w:val="24"/>
        </w:rPr>
        <w:t xml:space="preserve">為了更精確刻畫此類差異，需先理解 B2B LLM 需求的兩個層面：部署控制權（deployment control）與部署靈活性（deployment flexibility）。前者指企業對模型運行環境、資料流向及系統整合方式的掌控程度；後者則指企業在不同部署架構與基礎設施之間進行選擇與轉換的能力。此兩者共同構成企業在導入 LLM 時的關鍵決策維度。</w:t>
      </w:r>
    </w:p>
    <w:p>
      <w:pPr>
        <w:pStyle w:val="Heading3"/>
        <w:spacing w:after="100" w:before="200"/>
      </w:pPr>
      <w:r>
        <w:rPr>
          <w:rFonts w:ascii="Times New Roman" w:cs="Times New Roman" w:eastAsia="Times New Roman" w:hAnsi="Times New Roman"/>
          <w:b/>
          <w:bCs/>
          <w:sz w:val="26"/>
          <w:szCs w:val="26"/>
        </w:rPr>
        <w:t xml:space="preserve">4.1 Cohere 著重於部署控制與企業系統整合的具體產品</w:t>
      </w:r>
    </w:p>
    <w:p>
      <w:pPr>
        <w:spacing w:after="160" w:line="360"/>
        <w:jc w:val="both"/>
      </w:pPr>
      <w:r>
        <w:rPr>
          <w:rFonts w:ascii="Times New Roman" w:cs="Times New Roman" w:eastAsia="Times New Roman" w:hAnsi="Times New Roman"/>
          <w:sz w:val="24"/>
          <w:szCs w:val="24"/>
        </w:rPr>
        <w:t xml:space="preserve">Cohere 並非以單一產品競爭，而是建構一套涵蓋部署架構、模型本體與企業整合層的完整堆疊。以下分別介紹四項核心產品：</w:t>
      </w:r>
    </w:p>
    <w:p>
      <w:pPr>
        <w:spacing w:after="160" w:line="360"/>
        <w:jc w:val="both"/>
      </w:pPr>
      <w:r>
        <w:rPr>
          <w:rFonts w:ascii="Times New Roman" w:cs="Times New Roman" w:eastAsia="Times New Roman" w:hAnsi="Times New Roman"/>
          <w:sz w:val="24"/>
          <w:szCs w:val="24"/>
        </w:rPr>
        <w:t xml:space="preserve">（一）Model Vault 為 Cohere 於 2025 年 9 月推出的部署架構，是 Cohere 水平差異化策略的核心載體（Cohere, 2025b）。其支援企業在自有虛擬私有雲（VPC）或本地端（on-premise）環境中運行 Cohere 模型，使資料完全不離開企業環境。對於受 GDPR、HIPAA、SOX 或各國資料在地化法規規範的企業，此架構是可行替代於公有雲 API 的選項。Model Vault 同時支援模型權重隔離儲存、客製化微調，以及多租戶權限分離，使大型企業能在符合內部治理規範下使用 LLM。</w:t>
      </w:r>
    </w:p>
    <w:p>
      <w:pPr>
        <w:spacing w:after="160" w:line="360"/>
        <w:jc w:val="both"/>
      </w:pPr>
      <w:r>
        <w:rPr>
          <w:rFonts w:ascii="Times New Roman" w:cs="Times New Roman" w:eastAsia="Times New Roman" w:hAnsi="Times New Roman"/>
          <w:sz w:val="24"/>
          <w:szCs w:val="24"/>
        </w:rPr>
        <w:t xml:space="preserve">（二）Cohere North 為 2025 年推出之企業 AI 工作空間平台，可視為與 Anthropic Cowork 對應的競品。然而兩者邏輯不同：Cowork 強調將前沿模型能力擴展到非工程知識工作；North 則著重 agentic 工作流的編排能力，最高可支援 100 個子 agent 協同運作，並可整合企業內部資料來源（如 ERP、CRM、內部知識庫）（Cohere, 2025c）。North 預計於 2026 年第一季持續擴張，並包含 Compass 企業搜尋功能。</w:t>
      </w:r>
    </w:p>
    <w:p>
      <w:pPr>
        <w:spacing w:after="160" w:line="360"/>
        <w:jc w:val="both"/>
      </w:pPr>
      <w:r>
        <w:rPr>
          <w:rFonts w:ascii="Times New Roman" w:cs="Times New Roman" w:eastAsia="Times New Roman" w:hAnsi="Times New Roman"/>
          <w:sz w:val="24"/>
          <w:szCs w:val="24"/>
        </w:rPr>
        <w:t xml:space="preserve">（三）Command 系列模型為 Cohere 的核心生成模型，包含 Command R、Command R+ 與 2025 年 3 月推出的 Command A（Cohere, 2025d）。Command 系列的設計哲學為「右置模型」（right-sizing）：相較於前沿旗艦模型追求參數規模與能力極限，Command 強調以較小參數規模在特定企業任務上達到「夠用」的效能，並可在較少 GPU 上高效部署。例如 Command A 為 111B 參數的開源權重模型，支援 256K 上下文長度，並針對 agentic、多語言與程式碼任務優化（Artificial Analysis, 2026）。</w:t>
      </w:r>
    </w:p>
    <w:p>
      <w:pPr>
        <w:spacing w:after="160" w:line="360"/>
        <w:jc w:val="both"/>
      </w:pPr>
      <w:r>
        <w:rPr>
          <w:rFonts w:ascii="Times New Roman" w:cs="Times New Roman" w:eastAsia="Times New Roman" w:hAnsi="Times New Roman"/>
          <w:sz w:val="24"/>
          <w:szCs w:val="24"/>
        </w:rPr>
        <w:t xml:space="preserve">（四）Embed、Rerank 與 Compass 構成 Cohere 的檢索增強生成（RAG）堆疊。Embed v4 為多模態語意嵌入模型，支援文字與圖像；Rerank 3.5 為重新排序模型；Compass 為企業搜尋層（Cohere, 2025e）。此堆疊使企業可建構完整的 RAG 系統，將 LLM 能力直接連結至企業內部資料，特別適用於知識管理、客服自動化與決策支援等場景。</w:t>
      </w:r>
    </w:p>
    <w:p>
      <w:pPr>
        <w:spacing w:after="160" w:line="360"/>
        <w:jc w:val="both"/>
      </w:pPr>
      <w:r>
        <w:rPr>
          <w:rFonts w:ascii="Times New Roman" w:cs="Times New Roman" w:eastAsia="Times New Roman" w:hAnsi="Times New Roman"/>
          <w:sz w:val="24"/>
          <w:szCs w:val="24"/>
        </w:rPr>
        <w:t xml:space="preserve">（五）企業系統整合方面，Cohere 模型透過深度合作直接嵌入企業既有的關鍵系統。具體例子包括：Cohere 模型嵌入 Oracle NetSuite ERP；與 SAP 合作將 Cohere 整合進 SAP Business Suite；與 Salesforce Ventures 合作整合 CRM 平台；以及 Dell Technologies 提供 Cohere North 的本地端部署設備（appliance）（Cohere, 2025a; Oracle, 2025）。此類整合使 Cohere 不需要說服企業「採購一套新工具」，而是讓 LLM 能力以「企業既有系統的新功能」之形式被消費。</w:t>
      </w:r>
    </w:p>
    <w:p>
      <w:pPr>
        <w:pStyle w:val="Heading3"/>
        <w:spacing w:after="100" w:before="200"/>
      </w:pPr>
      <w:r>
        <w:rPr>
          <w:rFonts w:ascii="Times New Roman" w:cs="Times New Roman" w:eastAsia="Times New Roman" w:hAnsi="Times New Roman"/>
          <w:b/>
          <w:bCs/>
          <w:sz w:val="26"/>
          <w:szCs w:val="26"/>
        </w:rPr>
        <w:t xml:space="preserve">4.2 Cohere 在部署彈性、雲端中立性與資料主權的具體做法</w:t>
      </w:r>
    </w:p>
    <w:p>
      <w:pPr>
        <w:spacing w:after="160" w:line="360"/>
        <w:jc w:val="both"/>
      </w:pPr>
      <w:r>
        <w:rPr>
          <w:rFonts w:ascii="Times New Roman" w:cs="Times New Roman" w:eastAsia="Times New Roman" w:hAnsi="Times New Roman"/>
          <w:sz w:val="24"/>
          <w:szCs w:val="24"/>
        </w:rPr>
        <w:t xml:space="preserve">首先，在部署靈活性（deployment flexibility）方面，Cohere 提供多元的模型部署選項，包括公有雲 API、私有雲以及本地端（on-premise）部署，使企業能依據自身 IT 架構、資安需求與法規限制選擇最適合的運行環境（Cohere, 2025b）。</w:t>
      </w:r>
    </w:p>
    <w:p>
      <w:pPr>
        <w:spacing w:after="160" w:line="360"/>
        <w:jc w:val="both"/>
      </w:pPr>
      <w:r>
        <w:rPr>
          <w:rFonts w:ascii="Times New Roman" w:cs="Times New Roman" w:eastAsia="Times New Roman" w:hAnsi="Times New Roman"/>
          <w:sz w:val="24"/>
          <w:szCs w:val="24"/>
        </w:rPr>
        <w:t xml:space="preserve">其次，在雲端中立性（cloud neutrality）方面，Cohere 採取跨雲（multi-cloud / cloud-agnostic）的策略，允許客戶在 AWS SageMaker / Bedrock、Microsoft Azure、Google Vertex AI 與 Oracle Cloud Infrastructure 等多種雲端平台間自由選擇與切換。</w:t>
      </w:r>
    </w:p>
    <w:p>
      <w:pPr>
        <w:spacing w:after="160" w:line="360"/>
        <w:jc w:val="both"/>
      </w:pPr>
      <w:r>
        <w:rPr>
          <w:rFonts w:ascii="Times New Roman" w:cs="Times New Roman" w:eastAsia="Times New Roman" w:hAnsi="Times New Roman"/>
          <w:sz w:val="24"/>
          <w:szCs w:val="24"/>
        </w:rPr>
        <w:t xml:space="preserve">最後，在資料主權（data sovereignty）方面，Cohere 透過強化部署控制權來建立差異化優勢。其私有部署與資料在地化處理能力，使企業得以確保敏感資料不離開自身環境，並符合各國日益嚴格的資料保護與監管要求。Cohere 並透過與加拿大、英國、德國（透過 2026 年 4 月達成併購協議的 Aleph Alpha）、日本（透過 Fujitsu 合資架構）等國政府合作，進一步擴展其「主權 AI」（sovereign AI）定位（Cohere, 2026)。</w:t>
      </w:r>
    </w:p>
    <w:p>
      <w:pPr>
        <w:pStyle w:val="Heading3"/>
        <w:spacing w:after="100" w:before="200"/>
      </w:pPr>
      <w:r>
        <w:rPr>
          <w:rFonts w:ascii="Times New Roman" w:cs="Times New Roman" w:eastAsia="Times New Roman" w:hAnsi="Times New Roman"/>
          <w:b/>
          <w:bCs/>
          <w:sz w:val="26"/>
          <w:szCs w:val="26"/>
        </w:rPr>
        <w:t xml:space="preserve">4.3 兩公司在部署彈性與資料主權上的具體做法對照</w:t>
      </w:r>
    </w:p>
    <w:p>
      <w:pPr>
        <w:spacing w:after="160" w:line="360"/>
        <w:jc w:val="both"/>
      </w:pPr>
      <w:r>
        <w:rPr>
          <w:rFonts w:ascii="Times New Roman" w:cs="Times New Roman" w:eastAsia="Times New Roman" w:hAnsi="Times New Roman"/>
          <w:sz w:val="24"/>
          <w:szCs w:val="24"/>
        </w:rPr>
        <w:t xml:space="preserve">為了使前述差異更為清楚，以下表格整理兩公司在部署彈性、資料主權、合規認證與目標客群上的具體做法對照：</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700"/>
      </w:tblGrid>
      <w:tr>
        <w:trPr>
          <w:tblHeader/>
        </w:trPr>
        <w:tc>
          <w:tcPr>
            <w:tcW w:type="dxa" w:w="170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面向</w:t>
            </w:r>
          </w:p>
        </w:tc>
        <w:tc>
          <w:tcPr>
            <w:tcW w:type="dxa" w:w="370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Anthropic 的做法</w:t>
            </w:r>
          </w:p>
        </w:tc>
        <w:tc>
          <w:tcPr>
            <w:tcW w:type="dxa" w:w="370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Cohere 的做法</w:t>
            </w:r>
          </w:p>
        </w:tc>
      </w:tr>
      <w:tr>
        <w:trPr>
          <w:tblHeader w:val="false"/>
        </w:trP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部署架構</w:t>
            </w:r>
          </w:p>
        </w:tc>
        <w:tc>
          <w:tcPr>
            <w:tcW w:type="dxa" w:w="3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三大雲端 marketplace 上架（AWS Bedrock、Azure Foundry、Vertex AI），無 on-premise 選項；提供 inference_geo 地理區域選擇</w:t>
            </w:r>
          </w:p>
        </w:tc>
        <w:tc>
          <w:tcPr>
            <w:tcW w:type="dxa" w:w="3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Model Vault 支援 VPC + on-premise；客戶可選擇公有雲 API、私有雲或地端部署</w:t>
            </w:r>
          </w:p>
        </w:tc>
      </w:tr>
      <w:tr>
        <w:trPr>
          <w:tblHeader w:val="false"/>
        </w:trP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雲端中立性</w:t>
            </w:r>
          </w:p>
        </w:tc>
        <w:tc>
          <w:tcPr>
            <w:tcW w:type="dxa" w:w="3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Claude 同時可在三大雲端取得，但模型本身仍透過雲端運算，客戶仍綁定雲端基礎設施</w:t>
            </w:r>
          </w:p>
        </w:tc>
        <w:tc>
          <w:tcPr>
            <w:tcW w:type="dxa" w:w="3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客戶可在 AWS、Azure、GCP、Oracle 之間自由部署 Cohere 模型，並可隨時遷移</w:t>
            </w:r>
          </w:p>
        </w:tc>
      </w:tr>
      <w:tr>
        <w:trPr>
          <w:tblHeader w:val="false"/>
        </w:trP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資料主權保證</w:t>
            </w:r>
          </w:p>
        </w:tc>
        <w:tc>
          <w:tcPr>
            <w:tcW w:type="dxa" w:w="3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資料透過雲端 API 傳輸，依各雲端的合規架構（如 AWS GovCloud）提供保證；不提供「資料完全不離開企業」的選項</w:t>
            </w:r>
          </w:p>
        </w:tc>
        <w:tc>
          <w:tcPr>
            <w:tcW w:type="dxa" w:w="3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資料完全在客戶 VPC 或地端環境內處理，Cohere 不接觸；可滿足最嚴格的資料在地化要求</w:t>
            </w:r>
          </w:p>
        </w:tc>
      </w:tr>
      <w:tr>
        <w:trPr>
          <w:tblHeader w:val="false"/>
        </w:trP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合規場景</w:t>
            </w:r>
          </w:p>
        </w:tc>
        <w:tc>
          <w:tcPr>
            <w:tcW w:type="dxa" w:w="3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Claude Gov（國安）、Claude for Healthcare（HIPAA）為產業特化版本，將合規包裝於公有雲架構</w:t>
            </w:r>
          </w:p>
        </w:tc>
        <w:tc>
          <w:tcPr>
            <w:tcW w:type="dxa" w:w="3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私有部署作為通用合規解方，可滿足金融、政府、醫療各類資料保護法規</w:t>
            </w:r>
          </w:p>
        </w:tc>
      </w:tr>
      <w:tr>
        <w:trPr>
          <w:tblHeader w:val="false"/>
        </w:trP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代表客群</w:t>
            </w:r>
          </w:p>
        </w:tc>
        <w:tc>
          <w:tcPr>
            <w:tcW w:type="dxa" w:w="3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Cognizant、Snowflake、Pfizer、Netflix、Spotify、Salesforce 等可接受公有雲架構的大型企業</w:t>
            </w:r>
          </w:p>
        </w:tc>
        <w:tc>
          <w:tcPr>
            <w:tcW w:type="dxa" w:w="3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Royal Bank of Canada、Fujitsu、McKinsey、Thomson Reuters、Cisco、Dell、Thales、Saab 等高合規或高資料敏感客戶</w:t>
            </w:r>
          </w:p>
        </w:tc>
      </w:tr>
    </w:tbl>
    <w:p>
      <w:pPr>
        <w:spacing w:after="16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綜合而言，Cohere 在水平差異化上的競爭策略，可被理解為從「模型性能」轉向「部署控制權與部署靈活性」的價值重心轉移。透過強化企業對 AI 系統的掌控能力與環境適應能力，其成功對應了不同企業在風險承擔、法規遵循與系統整合上的異質偏好，進而在企業級 LLM 市場中建立出具體且可持續的差異化定位。</w:t>
      </w:r>
    </w:p>
    <w:p>
      <w:pPr>
        <w:pStyle w:val="Heading1"/>
        <w:spacing w:after="160" w:before="320"/>
      </w:pPr>
      <w:r>
        <w:rPr>
          <w:rFonts w:ascii="Times New Roman" w:cs="Times New Roman" w:eastAsia="Times New Roman" w:hAnsi="Times New Roman"/>
          <w:b/>
          <w:bCs/>
          <w:sz w:val="32"/>
          <w:szCs w:val="32"/>
        </w:rPr>
        <w:t xml:space="preserve">五、市場證據：客戶畫像分析</w:t>
      </w:r>
    </w:p>
    <w:p>
      <w:pPr>
        <w:spacing w:after="160" w:line="360"/>
        <w:jc w:val="both"/>
      </w:pPr>
      <w:r>
        <w:rPr>
          <w:rFonts w:ascii="Times New Roman" w:cs="Times New Roman" w:eastAsia="Times New Roman" w:hAnsi="Times New Roman"/>
          <w:sz w:val="24"/>
          <w:szCs w:val="24"/>
        </w:rPr>
        <w:t xml:space="preserve">在企業級大型語言模型（LLM）市場中，不同供應商之產品差異化策略，將直接反映於其客戶結構與產業分布上。具體而言，供應商在「模型性能導向」與「部署與資料控制導向」之間的策略選擇，將吸引具備不同風險偏好與合規需求的企業客戶，進而形成明確的市場區隔。</w:t>
      </w:r>
    </w:p>
    <w:p>
      <w:pPr>
        <w:pStyle w:val="Heading2"/>
        <w:spacing w:after="120" w:before="240"/>
      </w:pPr>
      <w:r>
        <w:rPr>
          <w:rFonts w:ascii="Times New Roman" w:cs="Times New Roman" w:eastAsia="Times New Roman" w:hAnsi="Times New Roman"/>
          <w:b/>
          <w:bCs/>
          <w:sz w:val="28"/>
          <w:szCs w:val="28"/>
        </w:rPr>
        <w:t xml:space="preserve">5.1 Anthropic 的客戶畫像：性能驅動為主</w:t>
      </w:r>
    </w:p>
    <w:p>
      <w:pPr>
        <w:spacing w:after="160" w:line="360"/>
        <w:jc w:val="both"/>
      </w:pPr>
      <w:r>
        <w:rPr>
          <w:rFonts w:ascii="Times New Roman" w:cs="Times New Roman" w:eastAsia="Times New Roman" w:hAnsi="Times New Roman"/>
          <w:sz w:val="24"/>
          <w:szCs w:val="24"/>
        </w:rPr>
        <w:t xml:space="preserve">Demirer 等人（2025）指出，LLM 市場同時存在水平與垂直差異化，且不同應用類別對模型「智能程度」的需求差異甚大；其中，程式設計等高複雜度任務明顯更依賴接近前沿的模型，而翻譯、角色扮演等場景則可由較低智能層級的模型滿足。這表示企業客戶並非一致追求最高階模型，而是會根據任務的複雜度與錯誤成本選擇不同供應商。Anthropic 因此特別適合那些任務本身具有高生產力槓桿的客戶，例如軟體開發、企業知識工作、法律文件處理、醫療與製藥研發等領域；在這些場景中，模型能力的邊際提升可能直接降低人工審核成本、提升任務完成率，並使 LLM 從輔助工具轉變為半自動化或自動化工作流的一部分。</w:t>
      </w:r>
    </w:p>
    <w:p>
      <w:pPr>
        <w:spacing w:after="160" w:line="360"/>
        <w:jc w:val="both"/>
      </w:pPr>
      <w:r>
        <w:rPr>
          <w:rFonts w:ascii="Times New Roman" w:cs="Times New Roman" w:eastAsia="Times New Roman" w:hAnsi="Times New Roman"/>
          <w:sz w:val="24"/>
          <w:szCs w:val="24"/>
        </w:rPr>
        <w:t xml:space="preserve">首先，Anthropic 吸引的是大量性能驅動的大型企業客戶。根據 Sacra（2026a）與 Anthropic 官方資料，其企業客戶總數已達 30 萬家以上，年支出超過 100 萬美元的客戶亦超過 1,000 家，並涵蓋多數 Fortune 100 企業；此外，透過 AWS Bedrock 使用 Claude 的組織亦達 10 萬家以上。這些客戶的共同特徵在於，其通常能接受透過 AWS、Google Cloud、Azure 或 Anthropic 自身 API 取得模型服務，因此不一定要求模型完全在地端或私有雲環境中運行。例如，Cognizant 將 Claude 推廣至全球員工與 AI 顧問服務（Cognizant, 2025），Snowflake 則以 Claude 支撐 Snowflake Intelligence，並透過自身平台將 Claude 能力提供給全球企業客戶（Snowflake, 2025）。</w:t>
      </w:r>
    </w:p>
    <w:p>
      <w:pPr>
        <w:spacing w:after="160" w:line="360"/>
        <w:jc w:val="both"/>
      </w:pPr>
      <w:r>
        <w:rPr>
          <w:rFonts w:ascii="Times New Roman" w:cs="Times New Roman" w:eastAsia="Times New Roman" w:hAnsi="Times New Roman"/>
          <w:sz w:val="24"/>
          <w:szCs w:val="24"/>
        </w:rPr>
        <w:t xml:space="preserve">其次，Anthropic 對開發者與軟體公司尤其具有吸引力，這與其產品組合中的 Claude Code 密切相關。Claude Code 並非單純的聊天式程式輔助工具，而是將模型能力嵌入開發者工作流，使 Claude 能參與跨檔案修改、程式碼重構與長時程 agentic coding 任務。這類任務對模型能力上限極為敏感，因為只要模型在上下文掌握、邏輯推理或工具使用上出現不穩定，企業就難以將其納入正式開發流程。因此，Netflix、Spotify、Salesforce、Replit、Harvey 與 KPMG 等具名用戶選擇 Anthropic（Sacra, 2026a），反映出其在開發者與軟體密集型組織中的定位。</w:t>
      </w:r>
    </w:p>
    <w:p>
      <w:pPr>
        <w:spacing w:after="160" w:line="360"/>
        <w:jc w:val="both"/>
      </w:pPr>
      <w:r>
        <w:rPr>
          <w:rFonts w:ascii="Times New Roman" w:cs="Times New Roman" w:eastAsia="Times New Roman" w:hAnsi="Times New Roman"/>
          <w:sz w:val="24"/>
          <w:szCs w:val="24"/>
        </w:rPr>
        <w:t xml:space="preserve">第三，Anthropic 亦吸引部分高合規產業客戶，但其吸引邏輯與 Cohere 並不相同。Cohere 在金融、政府或大型跨國企業中的優勢，主要來自私有部署、資料主權與多雲彈性；Anthropic 則是透過「前沿模型能力加上產業合規包裝」進入醫療、製藥、法律與政府等高敏感場景。換言之，在高合規產業內部，仍可依「資料主權嚴格度」與「模型能力需求」進一步區分客戶；資料主權要求最高者可能偏向 Cohere，而更重視模型能力與行業工作流整合者則可能選擇 Anthropic。</w:t>
      </w:r>
    </w:p>
    <w:p>
      <w:pPr>
        <w:spacing w:after="160" w:line="360"/>
        <w:jc w:val="both"/>
      </w:pPr>
      <w:r>
        <w:rPr>
          <w:rFonts w:ascii="Times New Roman" w:cs="Times New Roman" w:eastAsia="Times New Roman" w:hAnsi="Times New Roman"/>
          <w:sz w:val="24"/>
          <w:szCs w:val="24"/>
        </w:rPr>
        <w:t xml:space="preserve">綜合而言，Anthropic 的客戶畫像可概括為「性能優先、可信安全導向、且較能接受標準雲端架構」的企業與專業使用者。此類客戶通常位於高複雜度、高生產力槓桿或高錯誤成本的應用場景中，因此願意為更強的模型能力與更可靠的工作流表現支付品質溢價。</w:t>
      </w:r>
    </w:p>
    <w:p>
      <w:pPr>
        <w:pStyle w:val="Heading2"/>
        <w:spacing w:after="120" w:before="240"/>
      </w:pPr>
      <w:r>
        <w:rPr>
          <w:rFonts w:ascii="Times New Roman" w:cs="Times New Roman" w:eastAsia="Times New Roman" w:hAnsi="Times New Roman"/>
          <w:b/>
          <w:bCs/>
          <w:sz w:val="28"/>
          <w:szCs w:val="28"/>
        </w:rPr>
        <w:t xml:space="preserve">5.2 Cohere 的客戶畫像：高合規與高資料敏感度為主</w:t>
      </w:r>
    </w:p>
    <w:p>
      <w:pPr>
        <w:spacing w:after="160" w:line="360"/>
        <w:jc w:val="both"/>
      </w:pPr>
      <w:r>
        <w:rPr>
          <w:rFonts w:ascii="Times New Roman" w:cs="Times New Roman" w:eastAsia="Times New Roman" w:hAnsi="Times New Roman"/>
          <w:sz w:val="24"/>
          <w:szCs w:val="24"/>
        </w:rPr>
        <w:t xml:space="preserve">就 Cohere 而言，其客戶畫像高度集中於兩大類型：（一）受高度監管的產業（如金融與政府），以及（二）對資料隱私極度敏感的大型跨國企業（IntuitionLabs, 2026）。</w:t>
      </w:r>
    </w:p>
    <w:p>
      <w:pPr>
        <w:spacing w:after="160" w:line="360"/>
        <w:jc w:val="both"/>
      </w:pPr>
      <w:r>
        <w:rPr>
          <w:rFonts w:ascii="Times New Roman" w:cs="Times New Roman" w:eastAsia="Times New Roman" w:hAnsi="Times New Roman"/>
          <w:sz w:val="24"/>
          <w:szCs w:val="24"/>
        </w:rPr>
        <w:t xml:space="preserve">首先，在高度監管產業方面，Cohere 的核心客戶涵蓋金融機構與政府部門。具名案例包括 Royal Bank of Canada（RBC）作為「North for Banking」的標竿案例（Cohere, 2025c）；以及與 Fujitsu 的合作，為日本金融與公共部門開發符合在地法規要求的專屬日文大型語言模型（Fujitsu, 2024）。此類組織面臨嚴格的合規與資安規範，使得傳統需將資料傳輸至外部雲端 API 的架構難以被採用。Cohere 所提供之私有雲與地端部署方案，使企業得以在自身防火牆內運行模型，確保敏感資料不外流。在此情境下，由於市場上能同時兼顧模型能力與資料主權的供應商有限，客戶對價格的敏感度相對較低（low elasticity），並透過長期合約與深度系統整合形成高轉換成本，進一步強化 Cohere 的客戶黏著度。</w:t>
      </w:r>
    </w:p>
    <w:p>
      <w:pPr>
        <w:spacing w:after="160" w:line="360"/>
        <w:jc w:val="both"/>
      </w:pPr>
      <w:r>
        <w:rPr>
          <w:rFonts w:ascii="Times New Roman" w:cs="Times New Roman" w:eastAsia="Times New Roman" w:hAnsi="Times New Roman"/>
          <w:sz w:val="24"/>
          <w:szCs w:val="24"/>
        </w:rPr>
        <w:t xml:space="preserve">其次，在大型跨國企業方面，Cohere 的客戶包括 McKinsey &amp; Company、Thomson Reuters、Cisco 與 Dell 等企業（IntuitionLabs, 2026）。這些組織普遍需處理高度機敏的商業與法律資料，並擁有複雜的 IT 架構與多雲部署環境。Cohere 支援在 AWS、Google Cloud、Azure 及 Oracle 等多種雲端平台間部署與遷移，使企業能避免供應商鎖定（vendor lock-in）。此外，透過整合嵌入、重新排序與檢索增強生成（RAG）等技術，Cohere 提供一站式 AI 基礎設施，使大型企業得以將 LLM 快速嵌入既有的 ERP 與 CRM 系統。</w:t>
      </w:r>
    </w:p>
    <w:p>
      <w:pPr>
        <w:spacing w:after="160" w:line="360"/>
        <w:jc w:val="both"/>
      </w:pPr>
      <w:r>
        <w:rPr>
          <w:rFonts w:ascii="Times New Roman" w:cs="Times New Roman" w:eastAsia="Times New Roman" w:hAnsi="Times New Roman"/>
          <w:sz w:val="24"/>
          <w:szCs w:val="24"/>
        </w:rPr>
        <w:t xml:space="preserve">第三，在國防與政府部門方面，Cohere 進一步擴展至高度敏感的國家戰略應用。已具名合作對象包括 Thales（法國，海事國防）、Saab（瑞典，GlobalEye 監偵機系統）、Hanwha Ocean（韓國，船舶設計）與 Aston Martin F1（賽事 AI）（Cohere, 2026）。</w:t>
      </w:r>
    </w:p>
    <w:p>
      <w:pPr>
        <w:spacing w:after="160" w:line="360"/>
        <w:jc w:val="both"/>
      </w:pPr>
      <w:r>
        <w:rPr>
          <w:rFonts w:ascii="Times New Roman" w:cs="Times New Roman" w:eastAsia="Times New Roman" w:hAnsi="Times New Roman"/>
          <w:sz w:val="24"/>
          <w:szCs w:val="24"/>
        </w:rPr>
        <w:t xml:space="preserve">綜合而言，Cohere 的客戶畫像呈現出「高合規需求、高資料敏感度與高系統整合複雜性」的共同特徵。相較之下，Anthropic 則主要吸引追求模型推理能力與創新應用的大型企業、軟體公司與創意產業。此種差異最終導致兩者在市場中形成明確的「隔離均衡」（separating equilibrium, Spence, 1973）：即不同類型的客戶，基於其對風險、法規與技術架構的偏好，自然選擇最符合其需求的 LLM 供應商，並使兩種差異化策略得以在同一市場中共存且各自穩定發展。</w:t>
      </w:r>
    </w:p>
    <w:p>
      <w:pPr>
        <w:pStyle w:val="Heading1"/>
        <w:spacing w:after="160" w:before="320"/>
      </w:pPr>
      <w:r>
        <w:rPr>
          <w:rFonts w:ascii="Times New Roman" w:cs="Times New Roman" w:eastAsia="Times New Roman" w:hAnsi="Times New Roman"/>
          <w:b/>
          <w:bCs/>
          <w:sz w:val="32"/>
          <w:szCs w:val="32"/>
        </w:rPr>
        <w:t xml:space="preserve">六、訂價策略與訂價權（Pricing Power）</w:t>
      </w:r>
    </w:p>
    <w:p>
      <w:pPr>
        <w:pStyle w:val="Heading2"/>
        <w:spacing w:after="120" w:before="240"/>
      </w:pPr>
      <w:r>
        <w:rPr>
          <w:rFonts w:ascii="Times New Roman" w:cs="Times New Roman" w:eastAsia="Times New Roman" w:hAnsi="Times New Roman"/>
          <w:b/>
          <w:bCs/>
          <w:sz w:val="28"/>
          <w:szCs w:val="28"/>
        </w:rPr>
        <w:t xml:space="preserve">6.1 從產品差異化到訂價權</w:t>
      </w:r>
    </w:p>
    <w:p>
      <w:pPr>
        <w:spacing w:after="160" w:line="360"/>
        <w:jc w:val="both"/>
      </w:pPr>
      <w:r>
        <w:rPr>
          <w:rFonts w:ascii="Times New Roman" w:cs="Times New Roman" w:eastAsia="Times New Roman" w:hAnsi="Times New Roman"/>
          <w:sz w:val="24"/>
          <w:szCs w:val="24"/>
        </w:rPr>
        <w:t xml:space="preserve">在產業組織理論中，產品差異化與訂價權（pricing power）之間具有高度內生關聯。當產品在消費者認知中存在差異時，企業不再面對完全彈性的需求曲線，而能對價格進行策略性設定，進而擁有一定程度的市場力（Tirole, 1988）。Hotelling（1929）指出，在存在產品差異（如地理或特性差異）的情境下，市場將被劃分為多個「局部壟斷區域」，使得企業即使在競爭環境中，仍可維持高於邊際成本的價格。</w:t>
      </w:r>
    </w:p>
    <w:p>
      <w:pPr>
        <w:spacing w:after="160" w:line="360"/>
        <w:jc w:val="both"/>
      </w:pPr>
      <w:r>
        <w:rPr>
          <w:rFonts w:ascii="Times New Roman" w:cs="Times New Roman" w:eastAsia="Times New Roman" w:hAnsi="Times New Roman"/>
          <w:sz w:val="24"/>
          <w:szCs w:val="24"/>
        </w:rPr>
        <w:t xml:space="preserve">進一步地，Shaked 與 Sutton（1982）在垂直差異化模型中說明，企業會在「產品品質」與「價格」之間進行策略聯動。在此架構下，差異化不僅影響需求分配，也直接影響價格競爭的強度，使企業能夠維持正利潤均衡，而非落入 Bertrand 價格競爭。因此，產品差異化的本質效果在於「鬆弛價格競爭」（relaxing price competition），並形成訂價權的來源。</w:t>
      </w:r>
    </w:p>
    <w:p>
      <w:pPr>
        <w:spacing w:after="160" w:line="360"/>
        <w:jc w:val="both"/>
      </w:pPr>
      <w:r>
        <w:rPr>
          <w:rFonts w:ascii="Times New Roman" w:cs="Times New Roman" w:eastAsia="Times New Roman" w:hAnsi="Times New Roman"/>
          <w:sz w:val="24"/>
          <w:szCs w:val="24"/>
        </w:rPr>
        <w:t xml:space="preserve">將此理論應用於 LLM 市場，近期實證研究亦顯示該市場同時存在水平與垂直差異化，使不同模型在不同使用情境中具有不可完全替代性（Demirer et al., 2025）。這意味著，即使 LLM 產品普遍採取類似的 token 計費模式，企業仍可能因差異化而具備訂價能力。</w:t>
      </w:r>
    </w:p>
    <w:p>
      <w:pPr>
        <w:pStyle w:val="Heading2"/>
        <w:spacing w:after="120" w:before="240"/>
      </w:pPr>
      <w:r>
        <w:rPr>
          <w:rFonts w:ascii="Times New Roman" w:cs="Times New Roman" w:eastAsia="Times New Roman" w:hAnsi="Times New Roman"/>
          <w:b/>
          <w:bCs/>
          <w:sz w:val="28"/>
          <w:szCs w:val="28"/>
        </w:rPr>
        <w:t xml:space="preserve">6.2 LLM 的訂價方式：token-based pricing 與結構特徵</w:t>
      </w:r>
    </w:p>
    <w:p>
      <w:pPr>
        <w:spacing w:after="160" w:line="360"/>
        <w:jc w:val="both"/>
      </w:pPr>
      <w:r>
        <w:rPr>
          <w:rFonts w:ascii="Times New Roman" w:cs="Times New Roman" w:eastAsia="Times New Roman" w:hAnsi="Times New Roman"/>
          <w:sz w:val="24"/>
          <w:szCs w:val="24"/>
        </w:rPr>
        <w:t xml:space="preserve">在企業級 LLM 市場中，主流的訂價方式為按使用量計費（usage-based pricing），其核心單位為 token。此一機制將模型服務視為一種可被精細計量的「運算資源」，企業僅需依實際使用量付費。具體而言，LLM 的計費通常同時涵蓋輸入與輸出兩個面向：使用者提交的 prompt（input tokens）與模型生成的回應（output tokens）皆會被計價，且由於生成過程涉及較高的計算成本，輸出 token 的單價通常高於輸入 token。價格亦會隨模型能力與應用情境而有所區分，形成一種以「性能—價格」為基礎的分級結構。Demirer 等人（2025）指出，即使在能力相近的模型之間，市場仍觀察到顯著的價格分散現象，顯示該市場並未呈現完全競爭，而是受到產品差異化與需求異質性的共同影響。</w:t>
      </w:r>
    </w:p>
    <w:p>
      <w:pPr>
        <w:pStyle w:val="Heading2"/>
        <w:spacing w:after="120" w:before="240"/>
      </w:pPr>
      <w:r>
        <w:rPr>
          <w:rFonts w:ascii="Times New Roman" w:cs="Times New Roman" w:eastAsia="Times New Roman" w:hAnsi="Times New Roman"/>
          <w:b/>
          <w:bCs/>
          <w:sz w:val="28"/>
          <w:szCs w:val="28"/>
        </w:rPr>
        <w:t xml:space="preserve">6.3 Anthropic 的完整訂價模式</w:t>
      </w:r>
    </w:p>
    <w:p>
      <w:pPr>
        <w:spacing w:after="160" w:line="360"/>
        <w:jc w:val="both"/>
      </w:pPr>
      <w:r>
        <w:rPr>
          <w:rFonts w:ascii="Times New Roman" w:cs="Times New Roman" w:eastAsia="Times New Roman" w:hAnsi="Times New Roman"/>
          <w:sz w:val="24"/>
          <w:szCs w:val="24"/>
        </w:rPr>
        <w:t xml:space="preserve">Anthropic 的訂價體系反映其垂直差異化策略，可分為三個層次（Anthropic, 2026f）。</w:t>
      </w:r>
    </w:p>
    <w:p>
      <w:pPr>
        <w:spacing w:after="160" w:line="360"/>
        <w:jc w:val="both"/>
      </w:pPr>
      <w:r>
        <w:rPr>
          <w:rFonts w:ascii="Times New Roman" w:cs="Times New Roman" w:eastAsia="Times New Roman" w:hAnsi="Times New Roman"/>
          <w:sz w:val="24"/>
          <w:szCs w:val="24"/>
        </w:rPr>
        <w:t xml:space="preserve">第一，API 端按 token 計費。Anthropic 根據 Claude 模型家族的性能層級設定不同單價，呈現明確的垂直分層。下表整理 2026 年 4 月主要模型的 API 定價（單位：美元 / 每百萬 tokens）：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900"/>
        <w:gridCol w:w="2300"/>
      </w:tblGrid>
      <w:tr>
        <w:trPr>
          <w:tblHeader/>
        </w:trPr>
        <w:tc>
          <w:tcPr>
            <w:tcW w:type="dxa" w:w="220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模型</w:t>
            </w:r>
          </w:p>
        </w:tc>
        <w:tc>
          <w:tcPr>
            <w:tcW w:type="dxa" w:w="150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輸入單價</w:t>
            </w:r>
          </w:p>
        </w:tc>
        <w:tc>
          <w:tcPr>
            <w:tcW w:type="dxa" w:w="150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輸出單價</w:t>
            </w:r>
          </w:p>
        </w:tc>
        <w:tc>
          <w:tcPr>
            <w:tcW w:type="dxa" w:w="190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上下文長度</w:t>
            </w:r>
          </w:p>
        </w:tc>
        <w:tc>
          <w:tcPr>
            <w:tcW w:type="dxa" w:w="230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定位</w:t>
            </w:r>
          </w:p>
        </w:tc>
      </w:tr>
      <w:tr>
        <w:trPr>
          <w:tblHeader w:val="false"/>
        </w:trP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Claude Opus 4.7</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$5.00</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$25.00</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1M tokens</w:t>
            </w:r>
          </w:p>
        </w:tc>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旗艦</w:t>
            </w:r>
          </w:p>
        </w:tc>
      </w:tr>
      <w:tr>
        <w:trPr>
          <w:tblHeader w:val="false"/>
        </w:trP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Claude Opus 4.6</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$5.00</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$25.00</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1M tokens</w:t>
            </w:r>
          </w:p>
        </w:tc>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前一代旗艦</w:t>
            </w:r>
          </w:p>
        </w:tc>
      </w:tr>
      <w:tr>
        <w:trPr>
          <w:tblHeader w:val="false"/>
        </w:trP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Claude Sonnet 4.6</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$3.00</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$15.00</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1M tokens</w:t>
            </w:r>
          </w:p>
        </w:tc>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主力工作模型</w:t>
            </w:r>
          </w:p>
        </w:tc>
      </w:tr>
      <w:tr>
        <w:trPr>
          <w:tblHeader w:val="false"/>
        </w:trP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Claude Haiku 4.5</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$1.00</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$5.00</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200K tokens</w:t>
            </w:r>
          </w:p>
        </w:tc>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高吞吐量</w:t>
            </w:r>
          </w:p>
        </w:tc>
      </w:tr>
      <w:tr>
        <w:trPr>
          <w:tblHeader w:val="false"/>
        </w:trP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Claude Opus 4.1（legacy）</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$15.00</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$75.00</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200K tokens</w:t>
            </w:r>
          </w:p>
        </w:tc>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舊版旗艦</w:t>
            </w:r>
          </w:p>
        </w:tc>
      </w:tr>
    </w:tbl>
    <w:p>
      <w:pPr>
        <w:spacing w:after="16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Anthropic 並提供兩項成本優化機制：（一）Batch API 為非同步批次處理介面，所有模型享五折優惠（如 Sonnet 4.6 為 $1.50 / $7.50）；（二）Prompt Caching 對命中快取的輸入 token 給予一折優惠（如 Sonnet 4.6 為 $0.30）。此設計使企業在大量重複性任務或非即時任務中可顯著降低成本（Anthropic, 2026f）。</w:t>
      </w:r>
    </w:p>
    <w:p>
      <w:pPr>
        <w:spacing w:after="160" w:line="360"/>
        <w:jc w:val="both"/>
      </w:pPr>
      <w:r>
        <w:rPr>
          <w:rFonts w:ascii="Times New Roman" w:cs="Times New Roman" w:eastAsia="Times New Roman" w:hAnsi="Times New Roman"/>
          <w:sz w:val="24"/>
          <w:szCs w:val="24"/>
        </w:rPr>
        <w:t xml:space="preserve">第二，訂閱制產品。Anthropic 同時提供 Claude.ai 訂閱服務，採座席（per seat）月費模式，分為七層：</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300"/>
      </w:tblGrid>
      <w:tr>
        <w:trPr>
          <w:tblHeader/>
        </w:trPr>
        <w:tc>
          <w:tcPr>
            <w:tcW w:type="dxa" w:w="220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方案</w:t>
            </w:r>
          </w:p>
        </w:tc>
        <w:tc>
          <w:tcPr>
            <w:tcW w:type="dxa" w:w="290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月費</w:t>
            </w:r>
          </w:p>
        </w:tc>
        <w:tc>
          <w:tcPr>
            <w:tcW w:type="dxa" w:w="430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主要對象與功能</w:t>
            </w:r>
          </w:p>
        </w:tc>
      </w:tr>
      <w:tr>
        <w:trPr>
          <w:tblHeader w:val="false"/>
        </w:trP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Free</w:t>
            </w:r>
          </w:p>
        </w:tc>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$0</w:t>
            </w:r>
          </w:p>
        </w:tc>
        <w:tc>
          <w:tcPr>
            <w:tcW w:type="dxa" w:w="4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個人試用，每日訊息數有限</w:t>
            </w:r>
          </w:p>
        </w:tc>
      </w:tr>
      <w:tr>
        <w:trPr>
          <w:tblHeader w:val="false"/>
        </w:trP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Pro</w:t>
            </w:r>
          </w:p>
        </w:tc>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$20 / 月</w:t>
            </w:r>
          </w:p>
        </w:tc>
        <w:tc>
          <w:tcPr>
            <w:tcW w:type="dxa" w:w="4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個人專業使用者；標準對話額度</w:t>
            </w:r>
          </w:p>
        </w:tc>
      </w:tr>
      <w:tr>
        <w:trPr>
          <w:tblHeader w:val="false"/>
        </w:trP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Max 5×</w:t>
            </w:r>
          </w:p>
        </w:tc>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$100 / 月</w:t>
            </w:r>
          </w:p>
        </w:tc>
        <w:tc>
          <w:tcPr>
            <w:tcW w:type="dxa" w:w="4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重度使用者；含 Claude Code，5 倍 Pro 額度</w:t>
            </w:r>
          </w:p>
        </w:tc>
      </w:tr>
      <w:tr>
        <w:trPr>
          <w:tblHeader w:val="false"/>
        </w:trP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Max 20×</w:t>
            </w:r>
          </w:p>
        </w:tc>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$200 / 月</w:t>
            </w:r>
          </w:p>
        </w:tc>
        <w:tc>
          <w:tcPr>
            <w:tcW w:type="dxa" w:w="4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專業重度使用者；20 倍 Pro 額度</w:t>
            </w:r>
          </w:p>
        </w:tc>
      </w:tr>
      <w:tr>
        <w:trPr>
          <w:tblHeader w:val="false"/>
        </w:trP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Team Standard</w:t>
            </w:r>
          </w:p>
        </w:tc>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$30 / 座 / 月（最少 5 席）</w:t>
            </w:r>
          </w:p>
        </w:tc>
        <w:tc>
          <w:tcPr>
            <w:tcW w:type="dxa" w:w="4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中小團隊；協作功能</w:t>
            </w:r>
          </w:p>
        </w:tc>
      </w:tr>
      <w:tr>
        <w:trPr>
          <w:tblHeader w:val="false"/>
        </w:trP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Team Premium</w:t>
            </w:r>
          </w:p>
        </w:tc>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$125 / 座 / 月</w:t>
            </w:r>
          </w:p>
        </w:tc>
        <w:tc>
          <w:tcPr>
            <w:tcW w:type="dxa" w:w="4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中型團隊；含 Claude Code 與 SSO</w:t>
            </w:r>
          </w:p>
        </w:tc>
      </w:tr>
      <w:tr>
        <w:trPr>
          <w:tblHeader w:val="false"/>
        </w:trP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Enterprise</w:t>
            </w:r>
          </w:p>
        </w:tc>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訂製（最少 70 席）</w:t>
            </w:r>
          </w:p>
        </w:tc>
        <w:tc>
          <w:tcPr>
            <w:tcW w:type="dxa" w:w="4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大型組織；資料駐留、自訂合約、SLA</w:t>
            </w:r>
          </w:p>
        </w:tc>
      </w:tr>
    </w:tbl>
    <w:p>
      <w:pPr>
        <w:spacing w:after="16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第三，企業合約與整合方案。對於 Fortune 級客戶，Anthropic 提供基於用量承諾的客製合約定價（committed-use discount），包括長期合約折扣、專屬支援、資料駐留承諾與優先計算容量等條款。例如 Snowflake 與 Anthropic 簽訂的多年期 2 億美元合約即屬此類（Snowflake, 2025）；Cognizant 將 Claude 推送至 35 萬名員工的部署亦為類似的企業整合方案（Cognizant, 2025）。</w:t>
      </w:r>
    </w:p>
    <w:p>
      <w:pPr>
        <w:spacing w:after="160" w:line="360"/>
        <w:jc w:val="both"/>
      </w:pPr>
      <w:r>
        <w:rPr>
          <w:rFonts w:ascii="Times New Roman" w:cs="Times New Roman" w:eastAsia="Times New Roman" w:hAnsi="Times New Roman"/>
          <w:sz w:val="24"/>
          <w:szCs w:val="24"/>
        </w:rPr>
        <w:t xml:space="preserve">綜合而言，Anthropic 的訂價結構呈現「垂直分層 × 多元收費模式」的特徵：橫向以模型性能分層，縱向以 API 計費 + 座席訂閱 + 企業合約三軌並行。</w:t>
      </w:r>
    </w:p>
    <w:p>
      <w:pPr>
        <w:pStyle w:val="Heading2"/>
        <w:spacing w:after="120" w:before="240"/>
      </w:pPr>
      <w:r>
        <w:rPr>
          <w:rFonts w:ascii="Times New Roman" w:cs="Times New Roman" w:eastAsia="Times New Roman" w:hAnsi="Times New Roman"/>
          <w:b/>
          <w:bCs/>
          <w:sz w:val="28"/>
          <w:szCs w:val="28"/>
        </w:rPr>
        <w:t xml:space="preserve">6.4 Cohere 的完整訂價模式</w:t>
      </w:r>
    </w:p>
    <w:p>
      <w:pPr>
        <w:spacing w:after="160" w:line="360"/>
        <w:jc w:val="both"/>
      </w:pPr>
      <w:r>
        <w:rPr>
          <w:rFonts w:ascii="Times New Roman" w:cs="Times New Roman" w:eastAsia="Times New Roman" w:hAnsi="Times New Roman"/>
          <w:sz w:val="24"/>
          <w:szCs w:val="24"/>
        </w:rPr>
        <w:t xml:space="preserve">相較之下，Cohere 的訂價體系呈現「功能模組化 × 部署彈性」的特徵，由四個元件構成（Cohere, 2025e；MetaCTO, 2026）。</w:t>
      </w:r>
    </w:p>
    <w:p>
      <w:pPr>
        <w:spacing w:after="160" w:line="360"/>
        <w:jc w:val="both"/>
      </w:pPr>
      <w:r>
        <w:rPr>
          <w:rFonts w:ascii="Times New Roman" w:cs="Times New Roman" w:eastAsia="Times New Roman" w:hAnsi="Times New Roman"/>
          <w:sz w:val="24"/>
          <w:szCs w:val="24"/>
        </w:rPr>
        <w:t xml:space="preserve">第一，生成模型（Command 系列）API 按 token 計費。下表整理主要模型的 API 定價（單位：美元 / 每百萬 tokens）：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900"/>
        <w:gridCol w:w="2300"/>
      </w:tblGrid>
      <w:tr>
        <w:trPr>
          <w:tblHeader/>
        </w:trPr>
        <w:tc>
          <w:tcPr>
            <w:tcW w:type="dxa" w:w="220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模型</w:t>
            </w:r>
          </w:p>
        </w:tc>
        <w:tc>
          <w:tcPr>
            <w:tcW w:type="dxa" w:w="150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輸入單價</w:t>
            </w:r>
          </w:p>
        </w:tc>
        <w:tc>
          <w:tcPr>
            <w:tcW w:type="dxa" w:w="150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輸出單價</w:t>
            </w:r>
          </w:p>
        </w:tc>
        <w:tc>
          <w:tcPr>
            <w:tcW w:type="dxa" w:w="190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上下文長度</w:t>
            </w:r>
          </w:p>
        </w:tc>
        <w:tc>
          <w:tcPr>
            <w:tcW w:type="dxa" w:w="230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定位</w:t>
            </w:r>
          </w:p>
        </w:tc>
      </w:tr>
      <w:tr>
        <w:trPr>
          <w:tblHeader w:val="false"/>
        </w:trP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Command 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$2.50</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$10.00</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256K tokens</w:t>
            </w:r>
          </w:p>
        </w:tc>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旗艦（111B 開源權重）</w:t>
            </w:r>
          </w:p>
        </w:tc>
      </w:tr>
      <w:tr>
        <w:trPr>
          <w:tblHeader w:val="false"/>
        </w:trP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Command R+ (08-2024)</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$2.50</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$10.00</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128K tokens</w:t>
            </w:r>
          </w:p>
        </w:tc>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前一代旗艦</w:t>
            </w:r>
          </w:p>
        </w:tc>
      </w:tr>
      <w:tr>
        <w:trPr>
          <w:tblHeader w:val="false"/>
        </w:trP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Command R+ (04-2024)</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$3.00</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$15.00</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128K tokens</w:t>
            </w:r>
          </w:p>
        </w:tc>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舊版旗艦</w:t>
            </w:r>
          </w:p>
        </w:tc>
      </w:tr>
      <w:tr>
        <w:trPr>
          <w:tblHeader w:val="false"/>
        </w:trP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Command R</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$0.15</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$0.60</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128K tokens</w:t>
            </w:r>
          </w:p>
        </w:tc>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中階主力</w:t>
            </w:r>
          </w:p>
        </w:tc>
      </w:tr>
      <w:tr>
        <w:trPr>
          <w:tblHeader w:val="false"/>
        </w:trP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Command R7B</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$0.0375</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$0.15</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128K tokens</w:t>
            </w:r>
          </w:p>
        </w:tc>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高吞吐量、低成本</w:t>
            </w:r>
          </w:p>
        </w:tc>
      </w:tr>
      <w:tr>
        <w:trPr>
          <w:tblHeader w:val="false"/>
        </w:trP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Aya Expanse 8B / 32B</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$0.50</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$1.50</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w:t>
            </w:r>
          </w:p>
        </w:tc>
        <w:tc>
          <w:tcPr>
            <w:tcW w:type="dxa" w:w="23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多語言開源模型</w:t>
            </w:r>
          </w:p>
        </w:tc>
      </w:tr>
    </w:tbl>
    <w:p>
      <w:pPr>
        <w:spacing w:after="16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第二，嵌入模型（Embed 系列）按 token 計費。Embed v4 為當前主力，支援多模態（文字 + 圖像），單價為文字 $0.12 / 每百萬 tokens、圖像 $0.47 / 每百萬 image tokens（Cohere, 2025e）。Embed v4 為 1,536 維向量，相較 v3（1,024 維、僅文字）為顯著升級。</w:t>
      </w:r>
    </w:p>
    <w:p>
      <w:pPr>
        <w:spacing w:after="160" w:line="360"/>
        <w:jc w:val="both"/>
      </w:pPr>
      <w:r>
        <w:rPr>
          <w:rFonts w:ascii="Times New Roman" w:cs="Times New Roman" w:eastAsia="Times New Roman" w:hAnsi="Times New Roman"/>
          <w:sz w:val="24"/>
          <w:szCs w:val="24"/>
        </w:rPr>
        <w:t xml:space="preserve">第三，重排序模型（Rerank 系列）按搜尋次數計費，而非 token。Rerank 3.5 單價為每 1,000 次搜尋 $2.00，其中一次「搜尋單元」定義為一個查詢配上至多 100 份待排序文件；超過 500 tokens 的文件會自動切分為多個 chunk（Cohere, 2025e）。此計價方式反映 Rerank 在企業 RAG 系統中作為「搜尋層元件」的定位，而非通用對話模型。</w:t>
      </w:r>
    </w:p>
    <w:p>
      <w:pPr>
        <w:spacing w:after="160" w:line="360"/>
        <w:jc w:val="both"/>
      </w:pPr>
      <w:r>
        <w:rPr>
          <w:rFonts w:ascii="Times New Roman" w:cs="Times New Roman" w:eastAsia="Times New Roman" w:hAnsi="Times New Roman"/>
          <w:sz w:val="24"/>
          <w:szCs w:val="24"/>
        </w:rPr>
        <w:t xml:space="preserve">第四，企業合約與私有部署。Cohere 對年用量達數十億 tokens 級的企業客戶，或要求私有雲、本地端部署、客製 SLA 的客戶，提供協商式企業合約定價（Cohere, 2025e）。值得注意的是，根據 eesel AI（2025）與 MetaCTO（2026）的分析，Cohere 私有部署客戶的「真實總體擁有成本」（total cost of ownership, TCO）並不僅來自 token 使用費，而尚包含資料庫建置、檢索增強生成（RAG）架構設計、後端系統整合與長期維運成本。此類隱性成本一旦完成投入，會大幅提高轉換障礙，使 Cohere 在客戶端的議價權強化。</w:t>
      </w:r>
    </w:p>
    <w:p>
      <w:pPr>
        <w:spacing w:after="160" w:line="360"/>
        <w:jc w:val="both"/>
      </w:pPr>
      <w:r>
        <w:rPr>
          <w:rFonts w:ascii="Times New Roman" w:cs="Times New Roman" w:eastAsia="Times New Roman" w:hAnsi="Times New Roman"/>
          <w:sz w:val="24"/>
          <w:szCs w:val="24"/>
        </w:rPr>
        <w:t xml:space="preserve">Cohere 並未提供如 Anthropic 之 Prompt Caching 折扣機制（MetaCTO, 2026），但其 Command R7B 等小型模型的基礎價格已遠低於 Anthropic 同層級產品（Haiku 4.5 為 $1 / $5），對於高吞吐量任務具有顯著的單位成本優勢。</w:t>
      </w:r>
    </w:p>
    <w:p>
      <w:pPr>
        <w:pStyle w:val="Heading2"/>
        <w:spacing w:after="120" w:before="240"/>
      </w:pPr>
      <w:r>
        <w:rPr>
          <w:rFonts w:ascii="Times New Roman" w:cs="Times New Roman" w:eastAsia="Times New Roman" w:hAnsi="Times New Roman"/>
          <w:b/>
          <w:bCs/>
          <w:sz w:val="28"/>
          <w:szCs w:val="28"/>
        </w:rPr>
        <w:t xml:space="preserve">6.5 兩家定價模式的對照</w:t>
      </w:r>
    </w:p>
    <w:p>
      <w:pPr>
        <w:spacing w:after="160" w:line="360"/>
        <w:jc w:val="both"/>
      </w:pPr>
      <w:r>
        <w:rPr>
          <w:rFonts w:ascii="Times New Roman" w:cs="Times New Roman" w:eastAsia="Times New Roman" w:hAnsi="Times New Roman"/>
          <w:sz w:val="24"/>
          <w:szCs w:val="24"/>
        </w:rPr>
        <w:t xml:space="preserve">比較兩家公司的定價結構，可觀察到三項差異：</w:t>
      </w:r>
    </w:p>
    <w:p>
      <w:pPr>
        <w:spacing w:after="160" w:line="360"/>
        <w:jc w:val="both"/>
      </w:pPr>
      <w:r>
        <w:rPr>
          <w:rFonts w:ascii="Times New Roman" w:cs="Times New Roman" w:eastAsia="Times New Roman" w:hAnsi="Times New Roman"/>
          <w:sz w:val="24"/>
          <w:szCs w:val="24"/>
        </w:rPr>
        <w:t xml:space="preserve">第一，旗艦模型價格水準相近但策略意圖不同。Anthropic Sonnet 4.6（$3 / $15）與 Cohere Command A（$2.50 / $10）、Command R+（$2.50 / $10）的價格區間大致重疊，但 Anthropic 透過更高的 SWE-bench 等性能基準分數支撐其價格；Cohere 則透過 256K 上下文長度與多語言能力支撐其價格。</w:t>
      </w:r>
    </w:p>
    <w:p>
      <w:pPr>
        <w:spacing w:after="160" w:line="360"/>
        <w:jc w:val="both"/>
      </w:pPr>
      <w:r>
        <w:rPr>
          <w:rFonts w:ascii="Times New Roman" w:cs="Times New Roman" w:eastAsia="Times New Roman" w:hAnsi="Times New Roman"/>
          <w:sz w:val="24"/>
          <w:szCs w:val="24"/>
        </w:rPr>
        <w:t xml:space="preserve">第二，低階模型差距顯著。Anthropic 最便宜的 Haiku 4.5 為 $1 / $5，而 Cohere Command R7B 為 $0.0375 / $0.15，相差約 27 倍。此一差異反映兩家公司對「低階」市場的不同定位：Anthropic 的 Haiku 仍要求一定的能力下限，而 Cohere 的 R7B 明確針對極高吞吐量的分類、簡單問答任務。</w:t>
      </w:r>
    </w:p>
    <w:p>
      <w:pPr>
        <w:spacing w:after="160" w:line="360"/>
        <w:jc w:val="both"/>
      </w:pPr>
      <w:r>
        <w:rPr>
          <w:rFonts w:ascii="Times New Roman" w:cs="Times New Roman" w:eastAsia="Times New Roman" w:hAnsi="Times New Roman"/>
          <w:sz w:val="24"/>
          <w:szCs w:val="24"/>
        </w:rPr>
        <w:t xml:space="preserve">第三，計費單位設計反映不同產品定位。Anthropic 全產品線統一按 token 計費，反映其「模型即基礎設施」的定位；Cohere 則對 Rerank 採搜尋次數計費（$2 / 1K searches）、對 Embed 採 token 計費、對 Command 採 token 計費，反映其「企業 RAG 堆疊組合」的定位，每個元件對應不同企業使用情境。</w:t>
      </w:r>
    </w:p>
    <w:p>
      <w:pPr>
        <w:pStyle w:val="Heading2"/>
        <w:spacing w:after="120" w:before="240"/>
      </w:pPr>
      <w:r>
        <w:rPr>
          <w:rFonts w:ascii="Times New Roman" w:cs="Times New Roman" w:eastAsia="Times New Roman" w:hAnsi="Times New Roman"/>
          <w:b/>
          <w:bCs/>
          <w:sz w:val="28"/>
          <w:szCs w:val="28"/>
        </w:rPr>
        <w:t xml:space="preserve">6.6 訂價權來源分析：Anthropic vs. Cohere</w:t>
      </w:r>
    </w:p>
    <w:p>
      <w:pPr>
        <w:spacing w:after="160" w:line="360"/>
        <w:jc w:val="both"/>
      </w:pPr>
      <w:r>
        <w:rPr>
          <w:rFonts w:ascii="Times New Roman" w:cs="Times New Roman" w:eastAsia="Times New Roman" w:hAnsi="Times New Roman"/>
          <w:sz w:val="24"/>
          <w:szCs w:val="24"/>
        </w:rPr>
        <w:t xml:space="preserve">雖然前述分析顯示 Anthropic 與 Cohere 在表面上皆採用 token-based pricing，然而此一相似的訂價形式並不意味著兩者在經濟結構上具有相同的訂價能力。相反地，正是在「相同 pricing model」的前提下，兩家公司在訂價權上的差異更為明顯，因為價格不再由計費方式決定，而是由需求彈性（demand elasticity）與替代性（substitutability）所主導。</w:t>
      </w:r>
    </w:p>
    <w:p>
      <w:pPr>
        <w:spacing w:after="160" w:line="360"/>
        <w:jc w:val="both"/>
      </w:pPr>
      <w:r>
        <w:rPr>
          <w:rFonts w:ascii="Times New Roman" w:cs="Times New Roman" w:eastAsia="Times New Roman" w:hAnsi="Times New Roman"/>
          <w:sz w:val="24"/>
          <w:szCs w:val="24"/>
        </w:rPr>
        <w:t xml:space="preserve">對於 Anthropic 而言，其成本結構相對透明且以使用量為核心，企業主要依據 token 使用量支付費用，並可在不同模型供應商之間進行比較與切換。由於 API 為標準化介面，企業在技術上可相對容易地在不同模型（如 OpenAI、Google 或其他 LLM）之間進行替換，因此其需求仍具有一定程度的價格彈性。即使 Anthropic 能透過高性能模型（如 Opus）收取較高價格，其訂價權仍受到市場上其他高性能模型的競爭制約，呈現出「價格較高但可被替代」的特性。</w:t>
      </w:r>
    </w:p>
    <w:p>
      <w:pPr>
        <w:spacing w:after="160" w:line="360"/>
        <w:jc w:val="both"/>
      </w:pPr>
      <w:r>
        <w:rPr>
          <w:rFonts w:ascii="Times New Roman" w:cs="Times New Roman" w:eastAsia="Times New Roman" w:hAnsi="Times New Roman"/>
          <w:sz w:val="24"/>
          <w:szCs w:val="24"/>
        </w:rPr>
        <w:t xml:space="preserve">相較之下，Cohere 的訂價結構則不能僅以 token 成本理解，而需從「總體擁有成本」（total cost of ownership, TCO）的角度加以分析。雖然 Cohere 同樣提供按 token 計費的 API，但其核心價值主張在於協助企業將模型部署於私有雲或本地環境，並整合至既有的企業資料系統中。在此過程中，企業往往需要額外投入資源於資料庫建置、檢索增強生成（RAG）架構設計、後端系統整合以及持續維運（eesel AI, 2025）。特別是在強調資料主權與隱私保護的情境下（如金融或政府機構），Cohere 提供的本地部署方案意味著模型運行與資料儲存皆在企業內部完成，雖然提高了安全性與法規遵循能力，但同時也大幅增加了初始導入成本與系統複雜度。</w:t>
      </w:r>
    </w:p>
    <w:p>
      <w:pPr>
        <w:spacing w:after="160" w:line="360"/>
        <w:jc w:val="both"/>
      </w:pPr>
      <w:r>
        <w:rPr>
          <w:rFonts w:ascii="Times New Roman" w:cs="Times New Roman" w:eastAsia="Times New Roman" w:hAnsi="Times New Roman"/>
          <w:sz w:val="24"/>
          <w:szCs w:val="24"/>
        </w:rPr>
        <w:t xml:space="preserve">這種以本地部署與深度整合為核心的商業模式，使得 Cohere 的服務更接近「基礎設施投資」而非單純的 API 消費。一旦企業完成資料管線建置、模型整合與內部流程重構，轉換至其他供應商將涉及高昂的重建成本與營運風險，因此顯著提高了 switching costs（Klemperer, 1995）。相較於 Anthropic 所面對的較高需求彈性，Cohere 的需求則呈現出明顯的低彈性特徵。</w:t>
      </w:r>
    </w:p>
    <w:p>
      <w:pPr>
        <w:spacing w:after="160" w:line="360"/>
        <w:jc w:val="both"/>
      </w:pPr>
      <w:r>
        <w:rPr>
          <w:rFonts w:ascii="Times New Roman" w:cs="Times New Roman" w:eastAsia="Times New Roman" w:hAnsi="Times New Roman"/>
          <w:sz w:val="24"/>
          <w:szCs w:val="24"/>
        </w:rPr>
        <w:t xml:space="preserve">綜合而言，雖然兩家公司在計費單位上同樣採取 token-based pricing，但其實際的經濟結構存在根本差異。對 Anthropic 而言，價格主要反映模型能力與使用量；而對 Cohere 而言，價格則嵌入於整體系統建置與資料治理架構之中，使企業決策從「選擇模型」轉變為「投資基礎設施」。</w:t>
      </w:r>
    </w:p>
    <w:p>
      <w:pPr>
        <w:pStyle w:val="Heading1"/>
        <w:spacing w:after="160" w:before="320"/>
      </w:pPr>
      <w:r>
        <w:rPr>
          <w:rFonts w:ascii="Times New Roman" w:cs="Times New Roman" w:eastAsia="Times New Roman" w:hAnsi="Times New Roman"/>
          <w:b/>
          <w:bCs/>
          <w:sz w:val="32"/>
          <w:szCs w:val="32"/>
        </w:rPr>
        <w:t xml:space="preserve">七、未來預測：場景分析（Scenario Analysis）</w:t>
      </w:r>
    </w:p>
    <w:p>
      <w:pPr>
        <w:spacing w:after="160" w:line="360"/>
        <w:jc w:val="both"/>
      </w:pPr>
      <w:r>
        <w:rPr>
          <w:rFonts w:ascii="Times New Roman" w:cs="Times New Roman" w:eastAsia="Times New Roman" w:hAnsi="Times New Roman"/>
          <w:sz w:val="24"/>
          <w:szCs w:val="24"/>
        </w:rPr>
        <w:t xml:space="preserve">由於 LLM 市場變化迅速，難以對單一未來路徑做精確預測。然而，透過情境分析（scenario analysis, Schoemaker, 1995），可探討「在何種環境下，哪種策略更可能勝出」，以檢驗 Anthropic 與 Cohere 之差異化策略的穩健性。本研究選定四個對 LLM 市場具有結構性影響的外生變數：算力成本、資料監管、開源衝擊與企業需求轉型。下表彙整每一情境下兩家公司的策略應對與相對優勢評估。</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900"/>
        <w:gridCol w:w="2900"/>
      </w:tblGrid>
      <w:tr>
        <w:trPr>
          <w:tblHeader/>
        </w:trPr>
        <w:tc>
          <w:tcPr>
            <w:tcW w:type="dxa" w:w="150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情境</w:t>
            </w:r>
          </w:p>
        </w:tc>
        <w:tc>
          <w:tcPr>
            <w:tcW w:type="dxa" w:w="220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關鍵假設</w:t>
            </w:r>
          </w:p>
        </w:tc>
        <w:tc>
          <w:tcPr>
            <w:tcW w:type="dxa" w:w="290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Anthropic 應對與相對優勢</w:t>
            </w:r>
          </w:p>
        </w:tc>
        <w:tc>
          <w:tcPr>
            <w:tcW w:type="dxa" w:w="290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Cohere 應對與相對優勢</w:t>
            </w:r>
          </w:p>
        </w:tc>
      </w:tr>
      <w:tr>
        <w:trPr>
          <w:tblHeader w:val="false"/>
        </w:trPr>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算力成本</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GPU 與訓練算力價格大幅下降</w:t>
            </w:r>
          </w:p>
        </w:tc>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優勢顯著：規模化資本投入回報率提升，可進一步擴大模型規模與訓練頻次，鞏固性能前沿地位；其與 AWS、Google、Microsoft 之三方算力承諾將轉為高槓桿資產</w:t>
            </w:r>
          </w:p>
        </w:tc>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中性：可降低自建模型成本，但其策略並非以模型規模競爭為核心，邊際受益小於 Anthropic</w:t>
            </w:r>
          </w:p>
        </w:tc>
      </w:tr>
      <w:tr>
        <w:trPr>
          <w:tblHeader w:val="false"/>
        </w:trPr>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資料監管</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全球資料主權法規嚴格化（如 EU AI Act、各國資料在地化要求）</w:t>
            </w:r>
          </w:p>
        </w:tc>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挑戰較大：標準三大雲端 SaaS 部署模式須額外建構合規架構；惟可藉 Constitutional AI 與 Responsible Scaling Policy 累積之安全聲譽部分緩解</w:t>
            </w:r>
          </w:p>
        </w:tc>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優勢顯著：私有雲與地端部署能力直接對應監管要求，將擴大其在金融、政府客戶之滲透率</w:t>
            </w:r>
          </w:p>
        </w:tc>
      </w:tr>
      <w:tr>
        <w:trPr>
          <w:tblHeader w:val="false"/>
        </w:trPr>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開源衝擊</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Llama 系列等開源模型在性能基準上追平或超越閉源前沿</w:t>
            </w:r>
          </w:p>
        </w:tc>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挑戰較大：垂直差異化的性能溢價空間受壓縮，需加速產品化（Claude Code、Cowork）以將護城河從「模型」遷移至「工作流整合」</w:t>
            </w:r>
          </w:p>
        </w:tc>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優勢顯著：可協助企業微調與部署開源模型，將自身定位為「企業導入開源 AI 的基礎設施提供者」，反而擴大可服務市場</w:t>
            </w:r>
          </w:p>
        </w:tc>
      </w:tr>
      <w:tr>
        <w:trPr>
          <w:tblHeader w:val="false"/>
        </w:trPr>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企業需求</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企業 AI 採用從「試用」轉向「全面合規整合」</w:t>
            </w:r>
          </w:p>
        </w:tc>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中性偏正：Fortune 100 滲透率達 70% 提供轉化基礎，但需投入更多客製化與合規認證資源以從「試用」升級為「核心系統」</w:t>
            </w:r>
          </w:p>
        </w:tc>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優勢顯著：垂直整合策略（Model Vault、North Platform、ERP 嵌入）正是為「全面整合」需求設計</w:t>
            </w:r>
          </w:p>
        </w:tc>
      </w:tr>
    </w:tbl>
    <w:p>
      <w:pPr>
        <w:spacing w:after="16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綜合而言，四個情境的分析顯示：在算力成本下降的情境下，Anthropic 的規模化策略具備顯著優勢；而在資料監管、開源衝擊與全面合規整合三個情境下，Cohere 的策略應對能力較強。值得強調的是，此一不對稱性並非任一方策略「較佳」的證據，而是反映兩種差異化策略各自針對不同的外部風險展現韌性——這恰恰證實了水平差異化下「市場共存」的均衡邏輯：兩家公司並非競爭同一塊市場，而是分別對應不同類型的客戶需求與外部環境變化。</w:t>
      </w:r>
    </w:p>
    <w:p>
      <w:pPr>
        <w:pStyle w:val="Heading1"/>
        <w:spacing w:after="160" w:before="320"/>
      </w:pPr>
      <w:r>
        <w:rPr>
          <w:rFonts w:ascii="Times New Roman" w:cs="Times New Roman" w:eastAsia="Times New Roman" w:hAnsi="Times New Roman"/>
          <w:b/>
          <w:bCs/>
          <w:sz w:val="32"/>
          <w:szCs w:val="32"/>
        </w:rPr>
        <w:t xml:space="preserve">八、結論與建議（Conclusion）</w:t>
      </w:r>
    </w:p>
    <w:p>
      <w:pPr>
        <w:spacing w:after="160" w:line="360"/>
        <w:jc w:val="both"/>
      </w:pPr>
      <w:r>
        <w:rPr>
          <w:rFonts w:ascii="Times New Roman" w:cs="Times New Roman" w:eastAsia="Times New Roman" w:hAnsi="Times New Roman"/>
          <w:sz w:val="24"/>
          <w:szCs w:val="24"/>
        </w:rPr>
        <w:t xml:space="preserve">本研究透過產品差異化理論——同時涵蓋垂直差異化（性能前沿）與水平差異化（部署控制權與部署靈活性）兩個維度——建構出 Anthropic 與 Cohere 在企業級 LLM 市場中的策略對比框架。透過商業模式比較、客戶區隔分析、訂價策略剖析與情境壓力測試，本研究得出以下三項核心觀察。</w:t>
      </w:r>
    </w:p>
    <w:p>
      <w:pPr>
        <w:spacing w:after="160" w:line="360"/>
        <w:jc w:val="both"/>
      </w:pPr>
      <w:r>
        <w:rPr>
          <w:rFonts w:ascii="Times New Roman" w:cs="Times New Roman" w:eastAsia="Times New Roman" w:hAnsi="Times New Roman"/>
          <w:sz w:val="24"/>
          <w:szCs w:val="24"/>
        </w:rPr>
        <w:t xml:space="preserve">第一，企業級 LLM 市場並非「贏者全拿」結構。儘管 Anthropic 在規模上顯著領先 Cohere（Sacra, 2026a, 2026b），兩家公司各自吸引互不完全重疊的客戶群體，並在不同維度上享有訂價權。此一現象之所以成立，關鍵在於 LLM 客戶的需求並非單一面向（性能至上），而是包含部署位置、資料治理、合規認證、IT 整合等多元屬性，使得單一供應商難以同時滿足所有客戶——此即水平差異化所創造之市場區隔（market segmentation）的具體實證。Anthropic 與 Cohere 在市場中達成明確的「隔離均衡」（separating equilibrium, Spence, 1973），不同類型的客戶基於其對風險、法規與技術架構的偏好，自然選擇最符合其需求的 LLM 供應商。</w:t>
      </w:r>
    </w:p>
    <w:p>
      <w:pPr>
        <w:spacing w:after="160" w:line="360"/>
        <w:jc w:val="both"/>
      </w:pPr>
      <w:r>
        <w:rPr>
          <w:rFonts w:ascii="Times New Roman" w:cs="Times New Roman" w:eastAsia="Times New Roman" w:hAnsi="Times New Roman"/>
          <w:sz w:val="24"/>
          <w:szCs w:val="24"/>
        </w:rPr>
        <w:t xml:space="preserve">第二，垂直差異化與水平差異化在 LLM 產業中並非互斥，而是兩者並存且各自對應不同的競爭維度。Anthropic 透過垂直差異化建立性能領先地位，但其在安全與合規面向亦投入大量資源，反映其同時具備水平差異化的元素；Cohere 雖以水平差異化（部署控制）為主軸，但其模型本身亦須維持一定的性能水準才能進入企業客戶的考慮範圍。此種「主軸 + 次軸」的策略結構，正是兩家公司能在同一市場中共存的微觀基礎。此一結論亦呼應 Demirer 等人（2025）關於 LLM 市場存在多種差異化機制的實證發現。</w:t>
      </w:r>
    </w:p>
    <w:p>
      <w:pPr>
        <w:spacing w:after="160" w:line="360"/>
        <w:jc w:val="both"/>
      </w:pPr>
      <w:r>
        <w:rPr>
          <w:rFonts w:ascii="Times New Roman" w:cs="Times New Roman" w:eastAsia="Times New Roman" w:hAnsi="Times New Roman"/>
          <w:sz w:val="24"/>
          <w:szCs w:val="24"/>
        </w:rPr>
        <w:t xml:space="preserve">第三，差異化策略的穩健性高度依賴外部環境變數。情境分析顯示，Cohere 的水平差異化在資料監管嚴格化、開源衝擊與全面合規整合三個情境下展現顯著韌性，而 Anthropic 的垂直差異化主要在算力成本下降情境下強化。這意味未來 3–5 年內，隨著各國資料主權法規逐步成熟、開源模型性能持續逼近、以及企業 AI 採用從試用進入深度整合階段，兩家公司的相對競爭表現將呈現動態變化，而非靜態收斂。</w:t>
      </w:r>
    </w:p>
    <w:p>
      <w:pPr>
        <w:spacing w:after="160" w:line="360"/>
        <w:jc w:val="both"/>
      </w:pPr>
      <w:r>
        <w:rPr>
          <w:rFonts w:ascii="Times New Roman" w:cs="Times New Roman" w:eastAsia="Times New Roman" w:hAnsi="Times New Roman"/>
          <w:sz w:val="24"/>
          <w:szCs w:val="24"/>
        </w:rPr>
        <w:t xml:space="preserve">對企業決策者而言，本研究之實務建議為：選擇 LLM 供應商時，不應僅以模型基準分數作為唯一準則，而應綜合評估自身產業合規要求、IT 架構複雜度、資料敏感度，以及長期擁有成本。對於以推理深度與創新應用為核心的企業（如軟體開發、研究分析、創意產業），Anthropic 的性能領先與三大雲端通路提供最佳組合；對於受高度監管或須進行深度系統整合的企業（如金融、政府、跨國法律服務），Cohere 的部署彈性與垂直整合則更具實務價值。最終，兩家公司之共存證實 LLM 產業正從單純的「能力競賽」演變為「策略多元化」的成熟市場結構。</w:t>
      </w:r>
    </w:p>
    <w:p>
      <w:pPr>
        <w:pStyle w:val="Heading1"/>
        <w:spacing w:after="160" w:before="320"/>
      </w:pPr>
      <w:r>
        <w:rPr>
          <w:rFonts w:ascii="Times New Roman" w:cs="Times New Roman" w:eastAsia="Times New Roman" w:hAnsi="Times New Roman"/>
          <w:b/>
          <w:bCs/>
          <w:sz w:val="32"/>
          <w:szCs w:val="32"/>
        </w:rPr>
        <w:t xml:space="preserve">參考文獻（References）</w:t>
      </w:r>
    </w:p>
    <w:p>
      <w:pPr>
        <w:spacing w:after="120" w:line="320"/>
        <w:ind w:left="720" w:hanging="720"/>
        <w:jc w:val="left"/>
      </w:pPr>
      <w:r>
        <w:rPr>
          <w:rFonts w:ascii="Times New Roman" w:cs="Times New Roman" w:eastAsia="Times New Roman" w:hAnsi="Times New Roman"/>
          <w:sz w:val="22"/>
          <w:szCs w:val="22"/>
        </w:rPr>
        <w:t xml:space="preserve">Bai, Y., Kadavath, S., Kundu, S., Askell, A., Kernion, J., Jones, A., ... &amp; Kaplan, J. (2022). Constitutional AI: Harmlessness from AI feedback. arXiv preprint arXiv:2212.08073.</w:t>
      </w:r>
    </w:p>
    <w:p>
      <w:pPr>
        <w:spacing w:after="120" w:line="320"/>
        <w:ind w:left="720" w:hanging="720"/>
        <w:jc w:val="left"/>
      </w:pPr>
      <w:r>
        <w:rPr>
          <w:rFonts w:ascii="Times New Roman" w:cs="Times New Roman" w:eastAsia="Times New Roman" w:hAnsi="Times New Roman"/>
          <w:sz w:val="22"/>
          <w:szCs w:val="22"/>
        </w:rPr>
        <w:t xml:space="preserve">Christiano, P. F., Leike, J., Brown, T., Martic, M., Legg, S., &amp; Amodei, D. (2017). Deep reinforcement learning from human preferences. Advances in Neural Information Processing Systems, 30.</w:t>
      </w:r>
    </w:p>
    <w:p>
      <w:pPr>
        <w:spacing w:after="120" w:line="320"/>
        <w:ind w:left="720" w:hanging="720"/>
        <w:jc w:val="left"/>
      </w:pPr>
      <w:r>
        <w:rPr>
          <w:rFonts w:ascii="Times New Roman" w:cs="Times New Roman" w:eastAsia="Times New Roman" w:hAnsi="Times New Roman"/>
          <w:sz w:val="22"/>
          <w:szCs w:val="22"/>
        </w:rPr>
        <w:t xml:space="preserve">Demirer, M., Hortaçsu, A., Lieber, A., &amp; Tsai, Y. (2025). The economics of large language models: Token allocation, fine-tuning, and optimal pricing. Working paper, University of Chicago / MIT.</w:t>
      </w:r>
    </w:p>
    <w:p>
      <w:pPr>
        <w:spacing w:after="120" w:line="320"/>
        <w:ind w:left="720" w:hanging="720"/>
        <w:jc w:val="left"/>
      </w:pPr>
      <w:r>
        <w:rPr>
          <w:rFonts w:ascii="Times New Roman" w:cs="Times New Roman" w:eastAsia="Times New Roman" w:hAnsi="Times New Roman"/>
          <w:sz w:val="22"/>
          <w:szCs w:val="22"/>
        </w:rPr>
        <w:t xml:space="preserve">Fradkin, A. (2025). Demand for AI: Evidence from OpenRouter. Working paper, Boston University.</w:t>
      </w:r>
    </w:p>
    <w:p>
      <w:pPr>
        <w:spacing w:after="120" w:line="320"/>
        <w:ind w:left="720" w:hanging="720"/>
        <w:jc w:val="left"/>
      </w:pPr>
      <w:r>
        <w:rPr>
          <w:rFonts w:ascii="Times New Roman" w:cs="Times New Roman" w:eastAsia="Times New Roman" w:hAnsi="Times New Roman"/>
          <w:sz w:val="22"/>
          <w:szCs w:val="22"/>
        </w:rPr>
        <w:t xml:space="preserve">Hotelling, H. (1929). Stability in competition. Economic Journal, 39(153), 41–57.</w:t>
      </w:r>
    </w:p>
    <w:p>
      <w:pPr>
        <w:spacing w:after="120" w:line="320"/>
        <w:ind w:left="720" w:hanging="720"/>
        <w:jc w:val="left"/>
      </w:pPr>
      <w:r>
        <w:rPr>
          <w:rFonts w:ascii="Times New Roman" w:cs="Times New Roman" w:eastAsia="Times New Roman" w:hAnsi="Times New Roman"/>
          <w:sz w:val="22"/>
          <w:szCs w:val="22"/>
        </w:rPr>
        <w:t xml:space="preserve">Klemperer, P. (1995). Competition when consumers have switching costs. Review of Economic Studies, 62(4), 515–539.</w:t>
      </w:r>
    </w:p>
    <w:p>
      <w:pPr>
        <w:spacing w:after="120" w:line="320"/>
        <w:ind w:left="720" w:hanging="720"/>
        <w:jc w:val="left"/>
      </w:pPr>
      <w:r>
        <w:rPr>
          <w:rFonts w:ascii="Times New Roman" w:cs="Times New Roman" w:eastAsia="Times New Roman" w:hAnsi="Times New Roman"/>
          <w:sz w:val="22"/>
          <w:szCs w:val="22"/>
        </w:rPr>
        <w:t xml:space="preserve">Ouyang, L., Wu, J., Jiang, X., Almeida, D., Wainwright, C., Mishkin, P., ... &amp; Lowe, R. (2022). Training language models to follow instructions with human feedback. Advances in Neural Information Processing Systems, 35, 27730–27744.</w:t>
      </w:r>
    </w:p>
    <w:p>
      <w:pPr>
        <w:spacing w:after="120" w:line="320"/>
        <w:ind w:left="720" w:hanging="720"/>
        <w:jc w:val="left"/>
      </w:pPr>
      <w:r>
        <w:rPr>
          <w:rFonts w:ascii="Times New Roman" w:cs="Times New Roman" w:eastAsia="Times New Roman" w:hAnsi="Times New Roman"/>
          <w:sz w:val="22"/>
          <w:szCs w:val="22"/>
        </w:rPr>
        <w:t xml:space="preserve">Porter, M. E. (1980). Competitive strategy: Techniques for analyzing industries and competitors. Free Press.</w:t>
      </w:r>
    </w:p>
    <w:p>
      <w:pPr>
        <w:spacing w:after="120" w:line="320"/>
        <w:ind w:left="720" w:hanging="720"/>
        <w:jc w:val="left"/>
      </w:pPr>
      <w:r>
        <w:rPr>
          <w:rFonts w:ascii="Times New Roman" w:cs="Times New Roman" w:eastAsia="Times New Roman" w:hAnsi="Times New Roman"/>
          <w:sz w:val="22"/>
          <w:szCs w:val="22"/>
        </w:rPr>
        <w:t xml:space="preserve">Russell, S. (2019). Human compatible: Artificial intelligence and the problem of control. Viking.</w:t>
      </w:r>
    </w:p>
    <w:p>
      <w:pPr>
        <w:spacing w:after="120" w:line="320"/>
        <w:ind w:left="720" w:hanging="720"/>
        <w:jc w:val="left"/>
      </w:pPr>
      <w:r>
        <w:rPr>
          <w:rFonts w:ascii="Times New Roman" w:cs="Times New Roman" w:eastAsia="Times New Roman" w:hAnsi="Times New Roman"/>
          <w:sz w:val="22"/>
          <w:szCs w:val="22"/>
        </w:rPr>
        <w:t xml:space="preserve">Schoemaker, P. J. H. (1995). Scenario planning: A tool for strategic thinking. Sloan Management Review, 36(2), 25–40.</w:t>
      </w:r>
    </w:p>
    <w:p>
      <w:pPr>
        <w:spacing w:after="120" w:line="320"/>
        <w:ind w:left="720" w:hanging="720"/>
        <w:jc w:val="left"/>
      </w:pPr>
      <w:r>
        <w:rPr>
          <w:rFonts w:ascii="Times New Roman" w:cs="Times New Roman" w:eastAsia="Times New Roman" w:hAnsi="Times New Roman"/>
          <w:sz w:val="22"/>
          <w:szCs w:val="22"/>
        </w:rPr>
        <w:t xml:space="preserve">Shaked, A., &amp; Sutton, J. (1982). Relaxing price competition through product differentiation. Review of Economic Studies, 49(1), 3–13.</w:t>
      </w:r>
    </w:p>
    <w:p>
      <w:pPr>
        <w:spacing w:after="120" w:line="320"/>
        <w:ind w:left="720" w:hanging="720"/>
        <w:jc w:val="left"/>
      </w:pPr>
      <w:r>
        <w:rPr>
          <w:rFonts w:ascii="Times New Roman" w:cs="Times New Roman" w:eastAsia="Times New Roman" w:hAnsi="Times New Roman"/>
          <w:sz w:val="22"/>
          <w:szCs w:val="22"/>
        </w:rPr>
        <w:t xml:space="preserve">Spence, M. (1973). Job market signaling. Quarterly Journal of Economics, 87(3), 355–374.</w:t>
      </w:r>
    </w:p>
    <w:p>
      <w:pPr>
        <w:spacing w:after="120" w:line="320"/>
        <w:ind w:left="720" w:hanging="720"/>
        <w:jc w:val="left"/>
      </w:pPr>
      <w:r>
        <w:rPr>
          <w:rFonts w:ascii="Times New Roman" w:cs="Times New Roman" w:eastAsia="Times New Roman" w:hAnsi="Times New Roman"/>
          <w:sz w:val="22"/>
          <w:szCs w:val="22"/>
        </w:rPr>
        <w:t xml:space="preserve">Tirole, J. (1988). The theory of industrial organization. MIT Press.</w:t>
      </w:r>
    </w:p>
    <w:p>
      <w:pPr>
        <w:spacing w:after="120" w:line="320"/>
        <w:ind w:left="720" w:hanging="720"/>
        <w:jc w:val="left"/>
      </w:pPr>
      <w:r>
        <w:rPr>
          <w:rFonts w:ascii="Times New Roman" w:cs="Times New Roman" w:eastAsia="Times New Roman" w:hAnsi="Times New Roman"/>
          <w:sz w:val="22"/>
          <w:szCs w:val="22"/>
        </w:rPr>
        <w:t xml:space="preserve">Vaswani, A., Shazeer, N., Parmar, N., Uszkoreit, J., Jones, L., Gomez, A. N., ... &amp; Polosukhin, I. (2017). Attention is all you need. Advances in Neural Information Processing Systems, 30.</w:t>
      </w:r>
    </w:p>
    <w:p>
      <w:pPr>
        <w:spacing w:after="120" w:line="320"/>
        <w:ind w:left="720" w:hanging="720"/>
        <w:jc w:val="left"/>
      </w:pPr>
      <w:r>
        <w:rPr>
          <w:rFonts w:ascii="Times New Roman" w:cs="Times New Roman" w:eastAsia="Times New Roman" w:hAnsi="Times New Roman"/>
          <w:sz w:val="22"/>
          <w:szCs w:val="22"/>
        </w:rPr>
        <w:t xml:space="preserve">Anthropic. (2023). The Long-Term Benefit Trust. https://www.anthropic.com/news/the-long-term-benefit-trust</w:t>
      </w:r>
    </w:p>
    <w:p>
      <w:pPr>
        <w:spacing w:after="120" w:line="320"/>
        <w:ind w:left="720" w:hanging="720"/>
        <w:jc w:val="left"/>
      </w:pPr>
      <w:r>
        <w:rPr>
          <w:rFonts w:ascii="Times New Roman" w:cs="Times New Roman" w:eastAsia="Times New Roman" w:hAnsi="Times New Roman"/>
          <w:sz w:val="22"/>
          <w:szCs w:val="22"/>
        </w:rPr>
        <w:t xml:space="preserve">Anthropic. (2024). Responsible Scaling Policy (Version 2.0). https://www.anthropic.com/rsp</w:t>
      </w:r>
    </w:p>
    <w:p>
      <w:pPr>
        <w:spacing w:after="120" w:line="320"/>
        <w:ind w:left="720" w:hanging="720"/>
        <w:jc w:val="left"/>
      </w:pPr>
      <w:r>
        <w:rPr>
          <w:rFonts w:ascii="Times New Roman" w:cs="Times New Roman" w:eastAsia="Times New Roman" w:hAnsi="Times New Roman"/>
          <w:sz w:val="22"/>
          <w:szCs w:val="22"/>
        </w:rPr>
        <w:t xml:space="preserve">Anthropic. (2025). Model Context Protocol: An open standard for connecting AI assistants to data systems. https://www.anthropic.com/news/model-context-protocol</w:t>
      </w:r>
    </w:p>
    <w:p>
      <w:pPr>
        <w:spacing w:after="120" w:line="320"/>
        <w:ind w:left="720" w:hanging="720"/>
        <w:jc w:val="left"/>
      </w:pPr>
      <w:r>
        <w:rPr>
          <w:rFonts w:ascii="Times New Roman" w:cs="Times New Roman" w:eastAsia="Times New Roman" w:hAnsi="Times New Roman"/>
          <w:sz w:val="22"/>
          <w:szCs w:val="22"/>
        </w:rPr>
        <w:t xml:space="preserve">Anthropic. (2026a). Introducing Claude Opus 4.7. https://www.anthropic.com/news/claude-opus-4-7</w:t>
      </w:r>
    </w:p>
    <w:p>
      <w:pPr>
        <w:spacing w:after="120" w:line="320"/>
        <w:ind w:left="720" w:hanging="720"/>
        <w:jc w:val="left"/>
      </w:pPr>
      <w:r>
        <w:rPr>
          <w:rFonts w:ascii="Times New Roman" w:cs="Times New Roman" w:eastAsia="Times New Roman" w:hAnsi="Times New Roman"/>
          <w:sz w:val="22"/>
          <w:szCs w:val="22"/>
        </w:rPr>
        <w:t xml:space="preserve">Anthropic. (2026b). Introducing Cowork: A desktop AI agent for knowledge workers. https://www.anthropic.com/news/cowork</w:t>
      </w:r>
    </w:p>
    <w:p>
      <w:pPr>
        <w:spacing w:after="120" w:line="320"/>
        <w:ind w:left="720" w:hanging="720"/>
        <w:jc w:val="left"/>
      </w:pPr>
      <w:r>
        <w:rPr>
          <w:rFonts w:ascii="Times New Roman" w:cs="Times New Roman" w:eastAsia="Times New Roman" w:hAnsi="Times New Roman"/>
          <w:sz w:val="22"/>
          <w:szCs w:val="22"/>
        </w:rPr>
        <w:t xml:space="preserve">Anthropic. (2026c). Anthropic Marketplace launches with Snowflake, Harvey, Replit. https://www.anthropic.com/news/marketplace</w:t>
      </w:r>
    </w:p>
    <w:p>
      <w:pPr>
        <w:spacing w:after="120" w:line="320"/>
        <w:ind w:left="720" w:hanging="720"/>
        <w:jc w:val="left"/>
      </w:pPr>
      <w:r>
        <w:rPr>
          <w:rFonts w:ascii="Times New Roman" w:cs="Times New Roman" w:eastAsia="Times New Roman" w:hAnsi="Times New Roman"/>
          <w:sz w:val="22"/>
          <w:szCs w:val="22"/>
        </w:rPr>
        <w:t xml:space="preserve">Anthropic. (2026d). Anthropic acquires Coefficient Bio to accelerate pharmaceutical R&amp;D. https://www.anthropic.com/news/coefficient-bio</w:t>
      </w:r>
    </w:p>
    <w:p>
      <w:pPr>
        <w:spacing w:after="120" w:line="320"/>
        <w:ind w:left="720" w:hanging="720"/>
        <w:jc w:val="left"/>
      </w:pPr>
      <w:r>
        <w:rPr>
          <w:rFonts w:ascii="Times New Roman" w:cs="Times New Roman" w:eastAsia="Times New Roman" w:hAnsi="Times New Roman"/>
          <w:sz w:val="22"/>
          <w:szCs w:val="22"/>
        </w:rPr>
        <w:t xml:space="preserve">Anthropic. (2026e). Claude integrations with Apple Health and Android Health Connect. https://www.anthropic.com/news/health-integrations</w:t>
      </w:r>
    </w:p>
    <w:p>
      <w:pPr>
        <w:spacing w:after="120" w:line="320"/>
        <w:ind w:left="720" w:hanging="720"/>
        <w:jc w:val="left"/>
      </w:pPr>
      <w:r>
        <w:rPr>
          <w:rFonts w:ascii="Times New Roman" w:cs="Times New Roman" w:eastAsia="Times New Roman" w:hAnsi="Times New Roman"/>
          <w:sz w:val="22"/>
          <w:szCs w:val="22"/>
        </w:rPr>
        <w:t xml:space="preserve">Anthropic. (2026f). Claude API pricing. https://docs.claude.com/en/docs/about-claude/pricing</w:t>
      </w:r>
    </w:p>
    <w:p>
      <w:pPr>
        <w:spacing w:after="120" w:line="320"/>
        <w:ind w:left="720" w:hanging="720"/>
        <w:jc w:val="left"/>
      </w:pPr>
      <w:r>
        <w:rPr>
          <w:rFonts w:ascii="Times New Roman" w:cs="Times New Roman" w:eastAsia="Times New Roman" w:hAnsi="Times New Roman"/>
          <w:sz w:val="22"/>
          <w:szCs w:val="22"/>
        </w:rPr>
        <w:t xml:space="preserve">Artificial Analysis. (2026). Cohere Command A: Intelligence, performance &amp; price analysis. https://artificialanalysis.ai/models/command-a</w:t>
      </w:r>
    </w:p>
    <w:p>
      <w:pPr>
        <w:spacing w:after="120" w:line="320"/>
        <w:ind w:left="720" w:hanging="720"/>
        <w:jc w:val="left"/>
      </w:pPr>
      <w:r>
        <w:rPr>
          <w:rFonts w:ascii="Times New Roman" w:cs="Times New Roman" w:eastAsia="Times New Roman" w:hAnsi="Times New Roman"/>
          <w:sz w:val="22"/>
          <w:szCs w:val="22"/>
        </w:rPr>
        <w:t xml:space="preserve">Cognizant. (2025, November 4). Cognizant deploys Claude across 350,000 employees globally [Press release]. https://www.cognizant.com/newsroom</w:t>
      </w:r>
    </w:p>
    <w:p>
      <w:pPr>
        <w:spacing w:after="120" w:line="320"/>
        <w:ind w:left="720" w:hanging="720"/>
        <w:jc w:val="left"/>
      </w:pPr>
      <w:r>
        <w:rPr>
          <w:rFonts w:ascii="Times New Roman" w:cs="Times New Roman" w:eastAsia="Times New Roman" w:hAnsi="Times New Roman"/>
          <w:sz w:val="22"/>
          <w:szCs w:val="22"/>
        </w:rPr>
        <w:t xml:space="preserve">Cohere. (2025a). Enterprise AI platform: Integrating with SAP, Oracle, and Salesforce. https://cohere.com/enterprise</w:t>
      </w:r>
    </w:p>
    <w:p>
      <w:pPr>
        <w:spacing w:after="120" w:line="320"/>
        <w:ind w:left="720" w:hanging="720"/>
        <w:jc w:val="left"/>
      </w:pPr>
      <w:r>
        <w:rPr>
          <w:rFonts w:ascii="Times New Roman" w:cs="Times New Roman" w:eastAsia="Times New Roman" w:hAnsi="Times New Roman"/>
          <w:sz w:val="22"/>
          <w:szCs w:val="22"/>
        </w:rPr>
        <w:t xml:space="preserve">Cohere. (2025b, September). Introducing Cohere Model Vault: Private, on-premises deployment for regulated enterprises. https://cohere.com/blog/model-vault</w:t>
      </w:r>
    </w:p>
    <w:p>
      <w:pPr>
        <w:spacing w:after="120" w:line="320"/>
        <w:ind w:left="720" w:hanging="720"/>
        <w:jc w:val="left"/>
      </w:pPr>
      <w:r>
        <w:rPr>
          <w:rFonts w:ascii="Times New Roman" w:cs="Times New Roman" w:eastAsia="Times New Roman" w:hAnsi="Times New Roman"/>
          <w:sz w:val="22"/>
          <w:szCs w:val="22"/>
        </w:rPr>
        <w:t xml:space="preserve">Cohere. (2025c). Cohere North: An agentic AI workspace for enterprises. https://cohere.com/north</w:t>
      </w:r>
    </w:p>
    <w:p>
      <w:pPr>
        <w:spacing w:after="120" w:line="320"/>
        <w:ind w:left="720" w:hanging="720"/>
        <w:jc w:val="left"/>
      </w:pPr>
      <w:r>
        <w:rPr>
          <w:rFonts w:ascii="Times New Roman" w:cs="Times New Roman" w:eastAsia="Times New Roman" w:hAnsi="Times New Roman"/>
          <w:sz w:val="22"/>
          <w:szCs w:val="22"/>
        </w:rPr>
        <w:t xml:space="preserve">Cohere. (2025d, March). Introducing Command A: A 111B-parameter open-weights model. https://cohere.com/blog/command-a</w:t>
      </w:r>
    </w:p>
    <w:p>
      <w:pPr>
        <w:spacing w:after="120" w:line="320"/>
        <w:ind w:left="720" w:hanging="720"/>
        <w:jc w:val="left"/>
      </w:pPr>
      <w:r>
        <w:rPr>
          <w:rFonts w:ascii="Times New Roman" w:cs="Times New Roman" w:eastAsia="Times New Roman" w:hAnsi="Times New Roman"/>
          <w:sz w:val="22"/>
          <w:szCs w:val="22"/>
        </w:rPr>
        <w:t xml:space="preserve">Cohere. (2025e). Cohere pricing. https://cohere.com/pricing</w:t>
      </w:r>
    </w:p>
    <w:p>
      <w:pPr>
        <w:spacing w:after="120" w:line="320"/>
        <w:ind w:left="720" w:hanging="720"/>
        <w:jc w:val="left"/>
      </w:pPr>
      <w:r>
        <w:rPr>
          <w:rFonts w:ascii="Times New Roman" w:cs="Times New Roman" w:eastAsia="Times New Roman" w:hAnsi="Times New Roman"/>
          <w:sz w:val="22"/>
          <w:szCs w:val="22"/>
        </w:rPr>
        <w:t xml:space="preserve">Cohere. (2026, April). Cohere announces merger agreement with Aleph Alpha to expand European sovereign AI capabilities [Press release]. https://cohere.com/news</w:t>
      </w:r>
    </w:p>
    <w:p>
      <w:pPr>
        <w:spacing w:after="120" w:line="320"/>
        <w:ind w:left="720" w:hanging="720"/>
        <w:jc w:val="left"/>
      </w:pPr>
      <w:r>
        <w:rPr>
          <w:rFonts w:ascii="Times New Roman" w:cs="Times New Roman" w:eastAsia="Times New Roman" w:hAnsi="Times New Roman"/>
          <w:sz w:val="22"/>
          <w:szCs w:val="22"/>
        </w:rPr>
        <w:t xml:space="preserve">Databricks. (2024). Introducing DBRX: A new state-of-the-art open LLM. https://www.databricks.com/blog/introducing-dbrx</w:t>
      </w:r>
    </w:p>
    <w:p>
      <w:pPr>
        <w:spacing w:after="120" w:line="320"/>
        <w:ind w:left="720" w:hanging="720"/>
        <w:jc w:val="left"/>
      </w:pPr>
      <w:r>
        <w:rPr>
          <w:rFonts w:ascii="Times New Roman" w:cs="Times New Roman" w:eastAsia="Times New Roman" w:hAnsi="Times New Roman"/>
          <w:sz w:val="22"/>
          <w:szCs w:val="22"/>
        </w:rPr>
        <w:t xml:space="preserve">eesel AI. (2025, November). Cohere AI pricing in 2025: A complete guide to real costs. https://www.eesel.ai/blog/cohere-ai-pricing</w:t>
      </w:r>
    </w:p>
    <w:p>
      <w:pPr>
        <w:spacing w:after="120" w:line="320"/>
        <w:ind w:left="720" w:hanging="720"/>
        <w:jc w:val="left"/>
      </w:pPr>
      <w:r>
        <w:rPr>
          <w:rFonts w:ascii="Times New Roman" w:cs="Times New Roman" w:eastAsia="Times New Roman" w:hAnsi="Times New Roman"/>
          <w:sz w:val="22"/>
          <w:szCs w:val="22"/>
        </w:rPr>
        <w:t xml:space="preserve">Fujitsu. (2024). Fujitsu and Cohere strategic partnership to develop Japanese-language LLMs. https://www.fujitsu.com/global/about/resources/news</w:t>
      </w:r>
    </w:p>
    <w:p>
      <w:pPr>
        <w:spacing w:after="120" w:line="320"/>
        <w:ind w:left="720" w:hanging="720"/>
        <w:jc w:val="left"/>
      </w:pPr>
      <w:r>
        <w:rPr>
          <w:rFonts w:ascii="Times New Roman" w:cs="Times New Roman" w:eastAsia="Times New Roman" w:hAnsi="Times New Roman"/>
          <w:sz w:val="22"/>
          <w:szCs w:val="22"/>
        </w:rPr>
        <w:t xml:space="preserve">Google DeepMind. (2025). Gemini 2.5 Pro. https://deepmind.google/technologies/gemini</w:t>
      </w:r>
    </w:p>
    <w:p>
      <w:pPr>
        <w:spacing w:after="120" w:line="320"/>
        <w:ind w:left="720" w:hanging="720"/>
        <w:jc w:val="left"/>
      </w:pPr>
      <w:r>
        <w:rPr>
          <w:rFonts w:ascii="Times New Roman" w:cs="Times New Roman" w:eastAsia="Times New Roman" w:hAnsi="Times New Roman"/>
          <w:sz w:val="22"/>
          <w:szCs w:val="22"/>
        </w:rPr>
        <w:t xml:space="preserve">IBM. (2024). watsonx: Enterprise-ready AI and data platform. https://www.ibm.com/watsonx</w:t>
      </w:r>
    </w:p>
    <w:p>
      <w:pPr>
        <w:spacing w:after="120" w:line="320"/>
        <w:ind w:left="720" w:hanging="720"/>
        <w:jc w:val="left"/>
      </w:pPr>
      <w:r>
        <w:rPr>
          <w:rFonts w:ascii="Times New Roman" w:cs="Times New Roman" w:eastAsia="Times New Roman" w:hAnsi="Times New Roman"/>
          <w:sz w:val="22"/>
          <w:szCs w:val="22"/>
        </w:rPr>
        <w:t xml:space="preserve">IntuitionLabs. (2026). Cohere: A profile of its LLMs and enterprise AI strategy. https://intuitionlabs.ai/cohere-profile</w:t>
      </w:r>
    </w:p>
    <w:p>
      <w:pPr>
        <w:spacing w:after="120" w:line="320"/>
        <w:ind w:left="720" w:hanging="720"/>
        <w:jc w:val="left"/>
      </w:pPr>
      <w:r>
        <w:rPr>
          <w:rFonts w:ascii="Times New Roman" w:cs="Times New Roman" w:eastAsia="Times New Roman" w:hAnsi="Times New Roman"/>
          <w:sz w:val="22"/>
          <w:szCs w:val="22"/>
        </w:rPr>
        <w:t xml:space="preserve">Menlo Ventures. (2025). 2025: The state of generative AI in the enterprise. https://menlovc.com/2025-state-of-genai-enterprise</w:t>
      </w:r>
    </w:p>
    <w:p>
      <w:pPr>
        <w:spacing w:after="120" w:line="320"/>
        <w:ind w:left="720" w:hanging="720"/>
        <w:jc w:val="left"/>
      </w:pPr>
      <w:r>
        <w:rPr>
          <w:rFonts w:ascii="Times New Roman" w:cs="Times New Roman" w:eastAsia="Times New Roman" w:hAnsi="Times New Roman"/>
          <w:sz w:val="22"/>
          <w:szCs w:val="22"/>
        </w:rPr>
        <w:t xml:space="preserve">MetaCTO. (2026, January). Cohere API pricing 2026: Command R+, Rerank &amp; Embed costs. https://www.metacto.com/blogs/cohere-pricing-explained</w:t>
      </w:r>
    </w:p>
    <w:p>
      <w:pPr>
        <w:spacing w:after="120" w:line="320"/>
        <w:ind w:left="720" w:hanging="720"/>
        <w:jc w:val="left"/>
      </w:pPr>
      <w:r>
        <w:rPr>
          <w:rFonts w:ascii="Times New Roman" w:cs="Times New Roman" w:eastAsia="Times New Roman" w:hAnsi="Times New Roman"/>
          <w:sz w:val="22"/>
          <w:szCs w:val="22"/>
        </w:rPr>
        <w:t xml:space="preserve">Mistral AI. (2025). Mistral AI: Open-weights European AI. https://mistral.ai</w:t>
      </w:r>
    </w:p>
    <w:p>
      <w:pPr>
        <w:spacing w:after="120" w:line="320"/>
        <w:ind w:left="720" w:hanging="720"/>
        <w:jc w:val="left"/>
      </w:pPr>
      <w:r>
        <w:rPr>
          <w:rFonts w:ascii="Times New Roman" w:cs="Times New Roman" w:eastAsia="Times New Roman" w:hAnsi="Times New Roman"/>
          <w:sz w:val="22"/>
          <w:szCs w:val="22"/>
        </w:rPr>
        <w:t xml:space="preserve">OpenAI. (2025). GPT-5 system card. https://openai.com/research/gpt-5</w:t>
      </w:r>
    </w:p>
    <w:p>
      <w:pPr>
        <w:spacing w:after="120" w:line="320"/>
        <w:ind w:left="720" w:hanging="720"/>
        <w:jc w:val="left"/>
      </w:pPr>
      <w:r>
        <w:rPr>
          <w:rFonts w:ascii="Times New Roman" w:cs="Times New Roman" w:eastAsia="Times New Roman" w:hAnsi="Times New Roman"/>
          <w:sz w:val="22"/>
          <w:szCs w:val="22"/>
        </w:rPr>
        <w:t xml:space="preserve">Oracle. (2025). Cohere Command A on Oracle Cloud Infrastructure. https://docs.oracle.com/en-us/iaas/Content/generative-ai/cohere-command-a-03-2025.htm</w:t>
      </w:r>
    </w:p>
    <w:p>
      <w:pPr>
        <w:spacing w:after="120" w:line="320"/>
        <w:ind w:left="720" w:hanging="720"/>
        <w:jc w:val="left"/>
      </w:pPr>
      <w:r>
        <w:rPr>
          <w:rFonts w:ascii="Times New Roman" w:cs="Times New Roman" w:eastAsia="Times New Roman" w:hAnsi="Times New Roman"/>
          <w:sz w:val="22"/>
          <w:szCs w:val="22"/>
        </w:rPr>
        <w:t xml:space="preserve">Palantir. (2025). Palantir, Anthropic, and AWS partner to bring Claude to U.S. defense and intelligence agencies. https://www.palantir.com/newsroom</w:t>
      </w:r>
    </w:p>
    <w:p>
      <w:pPr>
        <w:spacing w:after="120" w:line="320"/>
        <w:ind w:left="720" w:hanging="720"/>
        <w:jc w:val="left"/>
      </w:pPr>
      <w:r>
        <w:rPr>
          <w:rFonts w:ascii="Times New Roman" w:cs="Times New Roman" w:eastAsia="Times New Roman" w:hAnsi="Times New Roman"/>
          <w:sz w:val="22"/>
          <w:szCs w:val="22"/>
        </w:rPr>
        <w:t xml:space="preserve">Reuters. (2026, February). Anthropic loses Pentagon foothold after refusing to lift surveillance restrictions. https://www.reuters.com</w:t>
      </w:r>
    </w:p>
    <w:p>
      <w:pPr>
        <w:spacing w:after="120" w:line="320"/>
        <w:ind w:left="720" w:hanging="720"/>
        <w:jc w:val="left"/>
      </w:pPr>
      <w:r>
        <w:rPr>
          <w:rFonts w:ascii="Times New Roman" w:cs="Times New Roman" w:eastAsia="Times New Roman" w:hAnsi="Times New Roman"/>
          <w:sz w:val="22"/>
          <w:szCs w:val="22"/>
        </w:rPr>
        <w:t xml:space="preserve">Sacra. (2026a, April). Anthropic: Revenue, valuation &amp; growth analysis. https://sacra.com/c/anthropic</w:t>
      </w:r>
    </w:p>
    <w:p>
      <w:pPr>
        <w:spacing w:after="120" w:line="320"/>
        <w:ind w:left="720" w:hanging="720"/>
        <w:jc w:val="left"/>
      </w:pPr>
      <w:r>
        <w:rPr>
          <w:rFonts w:ascii="Times New Roman" w:cs="Times New Roman" w:eastAsia="Times New Roman" w:hAnsi="Times New Roman"/>
          <w:sz w:val="22"/>
          <w:szCs w:val="22"/>
        </w:rPr>
        <w:t xml:space="preserve">Sacra. (2026b, March). Cohere: Revenue, valuation &amp; growth analysis. https://sacra.com/c/cohere</w:t>
      </w:r>
    </w:p>
    <w:p>
      <w:pPr>
        <w:spacing w:after="120" w:line="320"/>
        <w:ind w:left="720" w:hanging="720"/>
        <w:jc w:val="left"/>
      </w:pPr>
      <w:r>
        <w:rPr>
          <w:rFonts w:ascii="Times New Roman" w:cs="Times New Roman" w:eastAsia="Times New Roman" w:hAnsi="Times New Roman"/>
          <w:sz w:val="22"/>
          <w:szCs w:val="22"/>
        </w:rPr>
        <w:t xml:space="preserve">Sacra. (2026c, March). OpenAI: Revenue, valuation &amp; growth analysis. https://sacra.com/c/openai</w:t>
      </w:r>
    </w:p>
    <w:p>
      <w:pPr>
        <w:spacing w:after="120" w:line="320"/>
        <w:ind w:left="720" w:hanging="720"/>
        <w:jc w:val="left"/>
      </w:pPr>
      <w:r>
        <w:rPr>
          <w:rFonts w:ascii="Times New Roman" w:cs="Times New Roman" w:eastAsia="Times New Roman" w:hAnsi="Times New Roman"/>
          <w:sz w:val="22"/>
          <w:szCs w:val="22"/>
        </w:rPr>
        <w:t xml:space="preserve">Snowflake. (2025, December 4). Snowflake and Anthropic announce multi-year, $200M agreement to bring Claude to Snowflake Cortex AI [Press release]. https://www.snowflake.com/news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2026-05-11T06:28:41.789Z</dcterms:created>
  <dcterms:modified xsi:type="dcterms:W3CDTF">2026-05-11T06:28:41.803Z</dcterms:modified>
</cp:coreProperties>
</file>

<file path=docProps/custom.xml><?xml version="1.0" encoding="utf-8"?>
<Properties xmlns="http://schemas.openxmlformats.org/officeDocument/2006/custom-properties" xmlns:vt="http://schemas.openxmlformats.org/officeDocument/2006/docPropsVTypes"/>
</file>