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8"/>
          <w:sz w:val="46"/>
        </w:rPr>
        <w:t>CUHK-X 小模型赛道：项目总目标与路线图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23"/>
        </w:rPr>
        <w:t>六模态人体动作识别 · 100 MB 约束 · 类 Todolist 执行版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18"/>
        </w:rPr>
        <w:t>版本 v0.1  |  2026-07-14  |  DOC-00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EF5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 xml:space="preserve">总目标  </w:t>
            </w:r>
            <w:r>
              <w:rPr>
                <w:rFonts w:ascii="Noto Sans CJK SC" w:hAnsi="Noto Sans CJK SC" w:eastAsia="Noto Sans CJK SC"/>
                <w:color w:val="222222"/>
                <w:sz w:val="21"/>
              </w:rPr>
              <w:t>构建一个能在未见过的受试者上稳定识别 40 类日常动作的六模态模型；最终提交模型满足 CNN/RNN/Transformer 架构范围、序列化模型不超过 100 MB，并具备可复现训练与一键推理能力。</w:t>
            </w:r>
          </w:p>
        </w:tc>
      </w:tr>
    </w:tbl>
    <w:p>
      <w:pPr>
        <w:spacing w:after="0"/>
      </w:pPr>
    </w:p>
    <w:p>
      <w:pPr>
        <w:pStyle w:val="Heading1"/>
      </w:pPr>
      <w:r>
        <w:t>1. 已核对的比赛边界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440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3672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当前已知要求</w:t>
            </w:r>
          </w:p>
        </w:tc>
        <w:tc>
          <w:tcPr>
            <w:tcW w:type="dxa" w:w="4536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本项目执行原则</w:t>
            </w:r>
          </w:p>
        </w:tc>
      </w:tr>
      <w:tr>
        <w:tc>
          <w:tcPr>
            <w:tcW w:type="dxa" w:w="144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任务</w:t>
            </w:r>
          </w:p>
        </w:tc>
        <w:tc>
          <w:tcPr>
            <w:tcW w:type="dxa" w:w="367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六模态、40 类人体动作识别；测试对象与训练对象不同。</w:t>
            </w:r>
          </w:p>
        </w:tc>
        <w:tc>
          <w:tcPr>
            <w:tcW w:type="dxa" w:w="453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所有验证必须按受试者分组，禁止随机拆分同一人的样本。</w:t>
            </w:r>
          </w:p>
        </w:tc>
      </w:tr>
      <w:tr>
        <w:tc>
          <w:tcPr>
            <w:tcW w:type="dxa" w:w="144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模态</w:t>
            </w:r>
          </w:p>
        </w:tc>
        <w:tc>
          <w:tcPr>
            <w:tcW w:type="dxa" w:w="367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Depth_Color、IR、Thermal、IMU、Radar、Skeleton；测试片段可能缺少模态。</w:t>
            </w:r>
          </w:p>
        </w:tc>
        <w:tc>
          <w:tcPr>
            <w:tcW w:type="dxa" w:w="453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数据管线从第一天就输出 modality mask。</w:t>
            </w:r>
          </w:p>
        </w:tc>
      </w:tr>
      <w:tr>
        <w:tc>
          <w:tcPr>
            <w:tcW w:type="dxa" w:w="144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架构</w:t>
            </w:r>
          </w:p>
        </w:tc>
        <w:tc>
          <w:tcPr>
            <w:tcW w:type="dxa" w:w="367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鼓励 CNN、RNN、Transformer；不允许大型预训练骨干。</w:t>
            </w:r>
          </w:p>
        </w:tc>
        <w:tc>
          <w:tcPr>
            <w:tcW w:type="dxa" w:w="453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优先轻量 CNN/TCN/GRU；Transformer 只做小型时序或融合层。</w:t>
            </w:r>
          </w:p>
        </w:tc>
      </w:tr>
      <w:tr>
        <w:tc>
          <w:tcPr>
            <w:tcW w:type="dxa" w:w="144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模型大小</w:t>
            </w:r>
          </w:p>
        </w:tc>
        <w:tc>
          <w:tcPr>
            <w:tcW w:type="dxa" w:w="367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模型大小 ≤ 100 MB。</w:t>
            </w:r>
          </w:p>
        </w:tc>
        <w:tc>
          <w:tcPr>
            <w:tcW w:type="dxa" w:w="453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默认以 FP32 state_dict &lt; 95 MB 为安全线，避免格式开销和规则歧义。</w:t>
            </w:r>
          </w:p>
        </w:tc>
      </w:tr>
      <w:tr>
        <w:tc>
          <w:tcPr>
            <w:tcW w:type="dxa" w:w="144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复现</w:t>
            </w:r>
          </w:p>
        </w:tc>
        <w:tc>
          <w:tcPr>
            <w:tcW w:type="dxa" w:w="367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晋级后需要代码、checkpoint、inference.sh、README，并接受现场/线上复现。</w:t>
            </w:r>
          </w:p>
        </w:tc>
        <w:tc>
          <w:tcPr>
            <w:tcW w:type="dxa" w:w="453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从第一版 baseline 起即保留配置、随机种子、日志和完整推理入口。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C65911"/>
                <w:sz w:val="21"/>
              </w:rPr>
              <w:t xml:space="preserve">规则/风险提示  </w:t>
            </w:r>
            <w:r>
              <w:rPr>
                <w:rFonts w:ascii="Noto Sans CJK SC" w:hAnsi="Noto Sans CJK SC" w:eastAsia="Noto Sans CJK SC"/>
                <w:color w:val="222222"/>
                <w:sz w:val="21"/>
              </w:rPr>
              <w:t>仍需在 Kaggle Rules 或向组织者确认：小型 ImageNet 预训练模型是否允许；ST-GCN 是否被视为 CNN；100 MB 按何种文件格式与精度计算；量化/FP16 权重是否按实际文件大小认定。未确认前，主路线采用从头训练、传统轻量架构和 FP32 安全余量。</w:t>
            </w:r>
          </w:p>
        </w:tc>
      </w:tr>
    </w:tbl>
    <w:p>
      <w:pPr>
        <w:spacing w:after="0"/>
      </w:pPr>
    </w:p>
    <w:p>
      <w:pPr>
        <w:pStyle w:val="Heading1"/>
      </w:pPr>
      <w:r>
        <w:t>2. 总体成功策略</w:t>
      </w:r>
    </w:p>
    <w:p>
      <w:pPr>
        <w:ind w:left="288" w:hanging="288"/>
      </w:pPr>
      <w:r>
        <w:rPr>
          <w:rFonts w:ascii="Noto Sans CJK SC" w:hAnsi="Noto Sans CJK SC" w:eastAsia="Noto Sans CJK SC"/>
          <w:b/>
          <w:color w:val="1F4E78"/>
        </w:rPr>
        <w:t xml:space="preserve">1. </w:t>
      </w:r>
      <w:r>
        <w:rPr>
          <w:rFonts w:ascii="Noto Sans CJK SC" w:hAnsi="Noto Sans CJK SC" w:eastAsia="Noto Sans CJK SC"/>
        </w:rPr>
        <w:t>先保证验证可信，再追求单次分数。跨受试者验证误差通常远大于网络结构间的小差异。</w:t>
      </w:r>
    </w:p>
    <w:p>
      <w:pPr>
        <w:ind w:left="288" w:hanging="288"/>
      </w:pPr>
      <w:r>
        <w:rPr>
          <w:rFonts w:ascii="Noto Sans CJK SC" w:hAnsi="Noto Sans CJK SC" w:eastAsia="Noto Sans CJK SC"/>
          <w:b/>
          <w:color w:val="1F4E78"/>
        </w:rPr>
        <w:t xml:space="preserve">2. </w:t>
      </w:r>
      <w:r>
        <w:rPr>
          <w:rFonts w:ascii="Noto Sans CJK SC" w:hAnsi="Noto Sans CJK SC" w:eastAsia="Noto Sans CJK SC"/>
        </w:rPr>
        <w:t>先建立六个可独立收敛的单模态模型，再做融合。否则融合失败时无法定位问题。</w:t>
      </w:r>
    </w:p>
    <w:p>
      <w:pPr>
        <w:ind w:left="288" w:hanging="288"/>
      </w:pPr>
      <w:r>
        <w:rPr>
          <w:rFonts w:ascii="Noto Sans CJK SC" w:hAnsi="Noto Sans CJK SC" w:eastAsia="Noto Sans CJK SC"/>
          <w:b/>
          <w:color w:val="1F4E78"/>
        </w:rPr>
        <w:t xml:space="preserve">3. </w:t>
      </w:r>
      <w:r>
        <w:rPr>
          <w:rFonts w:ascii="Noto Sans CJK SC" w:hAnsi="Noto Sans CJK SC" w:eastAsia="Noto Sans CJK SC"/>
        </w:rPr>
        <w:t>先做样本级/片段级融合，再逐步引入时间级对齐。粗粒度路线通常更稳、更快。</w:t>
      </w:r>
    </w:p>
    <w:p>
      <w:pPr>
        <w:ind w:left="288" w:hanging="288"/>
      </w:pPr>
      <w:r>
        <w:rPr>
          <w:rFonts w:ascii="Noto Sans CJK SC" w:hAnsi="Noto Sans CJK SC" w:eastAsia="Noto Sans CJK SC"/>
          <w:b/>
          <w:color w:val="1F4E78"/>
        </w:rPr>
        <w:t xml:space="preserve">4. </w:t>
      </w:r>
      <w:r>
        <w:rPr>
          <w:rFonts w:ascii="Noto Sans CJK SC" w:hAnsi="Noto Sans CJK SC" w:eastAsia="Noto Sans CJK SC"/>
        </w:rPr>
        <w:t>每次实验只改变一组因素，并保存 OOF 预测；后期的融合、权重搜索和堆叠依赖 OOF。</w:t>
      </w:r>
    </w:p>
    <w:p>
      <w:pPr>
        <w:ind w:left="288" w:hanging="288"/>
      </w:pPr>
      <w:r>
        <w:rPr>
          <w:rFonts w:ascii="Noto Sans CJK SC" w:hAnsi="Noto Sans CJK SC" w:eastAsia="Noto Sans CJK SC"/>
          <w:b/>
          <w:color w:val="1F4E78"/>
        </w:rPr>
        <w:t xml:space="preserve">5. </w:t>
      </w:r>
      <w:r>
        <w:rPr>
          <w:rFonts w:ascii="Noto Sans CJK SC" w:hAnsi="Noto Sans CJK SC" w:eastAsia="Noto Sans CJK SC"/>
        </w:rPr>
        <w:t>保持模型尺寸和推理时间的持续审计，而不是最后一天再压缩。</w:t>
      </w:r>
    </w:p>
    <w:p>
      <w:pPr>
        <w:pStyle w:val="Heading1"/>
      </w:pPr>
      <w:r>
        <w:t>3. 分阶段路线图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008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088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4104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核心产物</w:t>
            </w:r>
          </w:p>
        </w:tc>
        <w:tc>
          <w:tcPr>
            <w:tcW w:type="dxa" w:w="2520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通过门槛</w:t>
            </w:r>
          </w:p>
        </w:tc>
      </w:tr>
      <w:tr>
        <w:tc>
          <w:tcPr>
            <w:tcW w:type="dxa" w:w="100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阶段 1</w:t>
            </w:r>
          </w:p>
        </w:tc>
        <w:tc>
          <w:tcPr>
            <w:tcW w:type="dxa" w:w="208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数据审计与统一索引</w:t>
            </w:r>
          </w:p>
        </w:tc>
        <w:tc>
          <w:tcPr>
            <w:tcW w:type="dxa" w:w="410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manifest、缺失率、长度分布、样例可视化、缓存格式</w:t>
            </w:r>
          </w:p>
        </w:tc>
        <w:tc>
          <w:tcPr>
            <w:tcW w:type="dxa" w:w="252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所有训练/测试片段可被无报错读取</w:t>
            </w:r>
          </w:p>
        </w:tc>
      </w:tr>
      <w:tr>
        <w:tc>
          <w:tcPr>
            <w:tcW w:type="dxa" w:w="100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阶段 2</w:t>
            </w:r>
          </w:p>
        </w:tc>
        <w:tc>
          <w:tcPr>
            <w:tcW w:type="dxa" w:w="208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跨受试者验证体系</w:t>
            </w:r>
          </w:p>
        </w:tc>
        <w:tc>
          <w:tcPr>
            <w:tcW w:type="dxa" w:w="410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固定快速验证 + 3 折 Group CV + 指标脚本</w:t>
            </w:r>
          </w:p>
        </w:tc>
        <w:tc>
          <w:tcPr>
            <w:tcW w:type="dxa" w:w="252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折间无受试者重叠，结果可重复</w:t>
            </w:r>
          </w:p>
        </w:tc>
      </w:tr>
      <w:tr>
        <w:tc>
          <w:tcPr>
            <w:tcW w:type="dxa" w:w="100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阶段 3</w:t>
            </w:r>
          </w:p>
        </w:tc>
        <w:tc>
          <w:tcPr>
            <w:tcW w:type="dxa" w:w="208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六种单模态 Baseline</w:t>
            </w:r>
          </w:p>
        </w:tc>
        <w:tc>
          <w:tcPr>
            <w:tcW w:type="dxa" w:w="410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每个模态至少 1 个可靠基线，保存 OOF logits/embedding</w:t>
            </w:r>
          </w:p>
        </w:tc>
        <w:tc>
          <w:tcPr>
            <w:tcW w:type="dxa" w:w="252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六路均能收敛并完成误差分析</w:t>
            </w:r>
          </w:p>
        </w:tc>
      </w:tr>
      <w:tr>
        <w:tc>
          <w:tcPr>
            <w:tcW w:type="dxa" w:w="100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阶段 4</w:t>
            </w:r>
          </w:p>
        </w:tc>
        <w:tc>
          <w:tcPr>
            <w:tcW w:type="dxa" w:w="208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晚期融合</w:t>
            </w:r>
          </w:p>
        </w:tc>
        <w:tc>
          <w:tcPr>
            <w:tcW w:type="dxa" w:w="410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平均、加权、校准、OOF 堆叠</w:t>
            </w:r>
          </w:p>
        </w:tc>
        <w:tc>
          <w:tcPr>
            <w:tcW w:type="dxa" w:w="252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融合稳定优于最强单模态</w:t>
            </w:r>
          </w:p>
        </w:tc>
      </w:tr>
      <w:tr>
        <w:tc>
          <w:tcPr>
            <w:tcW w:type="dxa" w:w="100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阶段 5</w:t>
            </w:r>
          </w:p>
        </w:tc>
        <w:tc>
          <w:tcPr>
            <w:tcW w:type="dxa" w:w="208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中期特征融合</w:t>
            </w:r>
          </w:p>
        </w:tc>
        <w:tc>
          <w:tcPr>
            <w:tcW w:type="dxa" w:w="410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投影、拼接、门控、模态注意力、辅助损失</w:t>
            </w:r>
          </w:p>
        </w:tc>
        <w:tc>
          <w:tcPr>
            <w:tcW w:type="dxa" w:w="252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在同等验证协议下超越晚期融合或显著减小模型</w:t>
            </w:r>
          </w:p>
        </w:tc>
      </w:tr>
      <w:tr>
        <w:tc>
          <w:tcPr>
            <w:tcW w:type="dxa" w:w="100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阶段 6</w:t>
            </w:r>
          </w:p>
        </w:tc>
        <w:tc>
          <w:tcPr>
            <w:tcW w:type="dxa" w:w="208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时间对齐与时序建模</w:t>
            </w:r>
          </w:p>
        </w:tc>
        <w:tc>
          <w:tcPr>
            <w:tcW w:type="dxa" w:w="410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归一化动作进度、固定 token、TCN/GRU/Tiny Transformer</w:t>
            </w:r>
          </w:p>
        </w:tc>
        <w:tc>
          <w:tcPr>
            <w:tcW w:type="dxa" w:w="252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复杂度增量带来可重复收益</w:t>
            </w:r>
          </w:p>
        </w:tc>
      </w:tr>
      <w:tr>
        <w:tc>
          <w:tcPr>
            <w:tcW w:type="dxa" w:w="100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阶段 7</w:t>
            </w:r>
          </w:p>
        </w:tc>
        <w:tc>
          <w:tcPr>
            <w:tcW w:type="dxa" w:w="208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缺失模态与鲁棒性</w:t>
            </w:r>
          </w:p>
        </w:tc>
        <w:tc>
          <w:tcPr>
            <w:tcW w:type="dxa" w:w="410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mask、缺失 token、modality dropout、传感器噪声增强</w:t>
            </w:r>
          </w:p>
        </w:tc>
        <w:tc>
          <w:tcPr>
            <w:tcW w:type="dxa" w:w="252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任意单模态缺失时性能下降受控</w:t>
            </w:r>
          </w:p>
        </w:tc>
      </w:tr>
      <w:tr>
        <w:tc>
          <w:tcPr>
            <w:tcW w:type="dxa" w:w="100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阶段 8</w:t>
            </w:r>
          </w:p>
        </w:tc>
        <w:tc>
          <w:tcPr>
            <w:tcW w:type="dxa" w:w="208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轻量化与尺寸约束</w:t>
            </w:r>
          </w:p>
        </w:tc>
        <w:tc>
          <w:tcPr>
            <w:tcW w:type="dxa" w:w="410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共享视觉骨干、低维投影、蒸馏/剪枝/量化评估</w:t>
            </w:r>
          </w:p>
        </w:tc>
        <w:tc>
          <w:tcPr>
            <w:tcW w:type="dxa" w:w="252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最终文件 &lt;95 MB，推理脚本可复现</w:t>
            </w:r>
          </w:p>
        </w:tc>
      </w:tr>
      <w:tr>
        <w:tc>
          <w:tcPr>
            <w:tcW w:type="dxa" w:w="100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阶段 9</w:t>
            </w:r>
          </w:p>
        </w:tc>
        <w:tc>
          <w:tcPr>
            <w:tcW w:type="dxa" w:w="208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排列组合、消融与搜索</w:t>
            </w:r>
          </w:p>
        </w:tc>
        <w:tc>
          <w:tcPr>
            <w:tcW w:type="dxa" w:w="410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分层搜索表、Pareto 前沿、消融报告</w:t>
            </w:r>
          </w:p>
        </w:tc>
        <w:tc>
          <w:tcPr>
            <w:tcW w:type="dxa" w:w="252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每个最终选择都有验证证据</w:t>
            </w:r>
          </w:p>
        </w:tc>
      </w:tr>
      <w:tr>
        <w:tc>
          <w:tcPr>
            <w:tcW w:type="dxa" w:w="100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阶段 10</w:t>
            </w:r>
          </w:p>
        </w:tc>
        <w:tc>
          <w:tcPr>
            <w:tcW w:type="dxa" w:w="208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最终训练、集成、提交与复现</w:t>
            </w:r>
          </w:p>
        </w:tc>
        <w:tc>
          <w:tcPr>
            <w:tcW w:type="dxa" w:w="410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多 seed/多折模型、CSV、README、inference.sh</w:t>
            </w:r>
          </w:p>
        </w:tc>
        <w:tc>
          <w:tcPr>
            <w:tcW w:type="dxa" w:w="252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本地一键重跑并通过提交格式检查</w:t>
            </w:r>
          </w:p>
        </w:tc>
      </w:tr>
    </w:tbl>
    <w:p>
      <w:pPr>
        <w:spacing w:after="0"/>
      </w:pPr>
    </w:p>
    <w:p>
      <w:pPr>
        <w:pStyle w:val="Heading1"/>
      </w:pPr>
      <w:r>
        <w:t>4. 实验分层：避免组合爆炸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440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168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允许变化的因素</w:t>
            </w:r>
          </w:p>
        </w:tc>
        <w:tc>
          <w:tcPr>
            <w:tcW w:type="dxa" w:w="3528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不应同时变化的因素</w:t>
            </w:r>
          </w:p>
        </w:tc>
        <w:tc>
          <w:tcPr>
            <w:tcW w:type="dxa" w:w="1584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建议预算</w:t>
            </w:r>
          </w:p>
        </w:tc>
      </w:tr>
      <w:tr>
        <w:tc>
          <w:tcPr>
            <w:tcW w:type="dxa" w:w="144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L0 数据正确性</w:t>
            </w:r>
          </w:p>
        </w:tc>
        <w:tc>
          <w:tcPr>
            <w:tcW w:type="dxa" w:w="316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读取、标签、shape、mask、归一化</w:t>
            </w:r>
          </w:p>
        </w:tc>
        <w:tc>
          <w:tcPr>
            <w:tcW w:type="dxa" w:w="352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模型结构、增强、融合</w:t>
            </w:r>
          </w:p>
        </w:tc>
        <w:tc>
          <w:tcPr>
            <w:tcW w:type="dxa" w:w="158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1–2 天</w:t>
            </w:r>
          </w:p>
        </w:tc>
      </w:tr>
      <w:tr>
        <w:tc>
          <w:tcPr>
            <w:tcW w:type="dxa" w:w="144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L1 快速筛选</w:t>
            </w:r>
          </w:p>
        </w:tc>
        <w:tc>
          <w:tcPr>
            <w:tcW w:type="dxa" w:w="316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每模态 2–3 个结构；低分辨率/少 epoch</w:t>
            </w:r>
          </w:p>
        </w:tc>
        <w:tc>
          <w:tcPr>
            <w:tcW w:type="dxa" w:w="352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复杂注意力、精细对齐</w:t>
            </w:r>
          </w:p>
        </w:tc>
        <w:tc>
          <w:tcPr>
            <w:tcW w:type="dxa" w:w="158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每配置 1 个 fold</w:t>
            </w:r>
          </w:p>
        </w:tc>
      </w:tr>
      <w:tr>
        <w:tc>
          <w:tcPr>
            <w:tcW w:type="dxa" w:w="144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L2 可靠比较</w:t>
            </w:r>
          </w:p>
        </w:tc>
        <w:tc>
          <w:tcPr>
            <w:tcW w:type="dxa" w:w="316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保留前 2 名结构，统一训练协议</w:t>
            </w:r>
          </w:p>
        </w:tc>
        <w:tc>
          <w:tcPr>
            <w:tcW w:type="dxa" w:w="352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同时改验证折和损失</w:t>
            </w:r>
          </w:p>
        </w:tc>
        <w:tc>
          <w:tcPr>
            <w:tcW w:type="dxa" w:w="158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3 折 CV</w:t>
            </w:r>
          </w:p>
        </w:tc>
      </w:tr>
      <w:tr>
        <w:tc>
          <w:tcPr>
            <w:tcW w:type="dxa" w:w="144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L3 融合搜索</w:t>
            </w:r>
          </w:p>
        </w:tc>
        <w:tc>
          <w:tcPr>
            <w:tcW w:type="dxa" w:w="316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模态组合、权重、投影维度、dropout</w:t>
            </w:r>
          </w:p>
        </w:tc>
        <w:tc>
          <w:tcPr>
            <w:tcW w:type="dxa" w:w="352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更换所有单模态编码器</w:t>
            </w:r>
          </w:p>
        </w:tc>
        <w:tc>
          <w:tcPr>
            <w:tcW w:type="dxa" w:w="158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基于固定 OOF</w:t>
            </w:r>
          </w:p>
        </w:tc>
      </w:tr>
      <w:tr>
        <w:tc>
          <w:tcPr>
            <w:tcW w:type="dxa" w:w="144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L4 精修</w:t>
            </w:r>
          </w:p>
        </w:tc>
        <w:tc>
          <w:tcPr>
            <w:tcW w:type="dxa" w:w="316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时序模块、增强、辅助损失、蒸馏</w:t>
            </w:r>
          </w:p>
        </w:tc>
        <w:tc>
          <w:tcPr>
            <w:tcW w:type="dxa" w:w="352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大范围架构扫参</w:t>
            </w:r>
          </w:p>
        </w:tc>
        <w:tc>
          <w:tcPr>
            <w:tcW w:type="dxa" w:w="158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只对前 3–5 个方案</w:t>
            </w:r>
          </w:p>
        </w:tc>
      </w:tr>
      <w:tr>
        <w:tc>
          <w:tcPr>
            <w:tcW w:type="dxa" w:w="144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L5 最终化</w:t>
            </w:r>
          </w:p>
        </w:tc>
        <w:tc>
          <w:tcPr>
            <w:tcW w:type="dxa" w:w="316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seed、全量训练、模型平均、校准</w:t>
            </w:r>
          </w:p>
        </w:tc>
        <w:tc>
          <w:tcPr>
            <w:tcW w:type="dxa" w:w="352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临时新结构</w:t>
            </w:r>
          </w:p>
        </w:tc>
        <w:tc>
          <w:tcPr>
            <w:tcW w:type="dxa" w:w="158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2–3 个最终候选</w:t>
            </w:r>
          </w:p>
        </w:tc>
      </w:tr>
    </w:tbl>
    <w:p>
      <w:pPr>
        <w:spacing w:after="0"/>
      </w:pPr>
    </w:p>
    <w:p>
      <w:pPr>
        <w:pStyle w:val="Heading1"/>
      </w:pPr>
      <w:r>
        <w:t>5. 统一的实验记录字段</w:t>
      </w:r>
    </w:p>
    <w:p>
      <w:pPr>
        <w:pStyle w:val="CodeBlock"/>
        <w:shd w:fill="F2F2F2"/>
      </w:pPr>
      <w:r>
        <w:rPr>
          <w:rFonts w:ascii="Noto Sans Mono CJK SC" w:hAnsi="Noto Sans Mono CJK SC" w:eastAsia="Noto Sans Mono CJK SC"/>
          <w:color w:val="333333"/>
          <w:sz w:val="18"/>
        </w:rPr>
        <w:t>experiment_id, git_commit, config_path, seed, fold, modalities, encoder, temporal_module,</w:t>
        <w:br/>
        <w:t>input_shape, frames_or_length, augmentation, optimizer, lr, weight_decay, epochs, best_epoch,</w:t>
        <w:br/>
        <w:t>val_accuracy, val_macro_f1, per_class_recall, params, fp32_size_mb, inference_ms, oof_path, checkpoint_path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每个实验必须保存配置文件，不允许只在 notebook 中临时改参数。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每个模型保存验证集 logits，而不仅是 argmax 标签。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任何排行榜提交必须能追溯到 experiment_id 和 checkpoint。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最终候选同时比较准确率、折间标准差、模型大小和推理时间。</w:t>
      </w:r>
    </w:p>
    <w:p>
      <w:pPr>
        <w:pStyle w:val="Heading1"/>
      </w:pPr>
      <w:r>
        <w:t>6. 总体完成清单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规则歧义已向组织者确认并记录截图/邮件。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训练集与测试集均完成全量扫描，坏文件与缺失模态被记录。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跨受试者验证折固定并写入版本控制。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六个单模态 baseline 均产生 OOF 预测。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至少一个晚期融合和一个联合模型稳定优于最强单模态。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完成缺失模态压力测试和模型尺寸审计。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最终推理脚本从空目录开始可生成合法 submission.csv。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README 能让另一台机器按步骤复现实验与推理。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8F5E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7D32"/>
                <w:sz w:val="21"/>
              </w:rPr>
              <w:t xml:space="preserve">本阶段通过门槛  </w:t>
            </w:r>
            <w:r>
              <w:rPr>
                <w:rFonts w:ascii="Noto Sans CJK SC" w:hAnsi="Noto Sans CJK SC" w:eastAsia="Noto Sans CJK SC"/>
                <w:color w:val="222222"/>
                <w:sz w:val="21"/>
              </w:rPr>
              <w:t>项目不是以“训练出一个模型”为完成标准，而是以“验证可信、融合有效、尺寸合规、推理可复现、提交可追踪”为完成标准。</w:t>
            </w:r>
          </w:p>
        </w:tc>
      </w:tr>
    </w:tbl>
    <w:p>
      <w:pPr>
        <w:spacing w:after="0"/>
      </w:pPr>
    </w:p>
    <w:p>
      <w:pPr>
        <w:pStyle w:val="Heading1"/>
      </w:pPr>
      <w:r>
        <w:t>参考与规则来源</w:t>
      </w:r>
    </w:p>
    <w:p>
      <w:r>
        <w:t>以下来源用于核对比赛约束、数据结构与赛程；模型选择和参数范围属于本项目的实验建议，需要通过本地交叉验证决定。</w:t>
      </w:r>
    </w:p>
    <w:p>
      <w:pPr>
        <w:ind w:left="288"/>
      </w:pPr>
      <w:r>
        <w:t xml:space="preserve">• </w:t>
      </w:r>
      <w:hyperlink r:id="rId11">
        <w:r>
          <w:rPr>
            <w:rFonts w:ascii="Noto Sans CJK SC" w:hAnsi="Noto Sans CJK SC" w:eastAsia="Noto Sans CJK SC"/>
            <w:color w:val="1F4E78"/>
            <w:u w:val="single"/>
          </w:rPr>
          <w:t>CUHK-X Challenge official site</w:t>
        </w:r>
      </w:hyperlink>
    </w:p>
    <w:p>
      <w:pPr>
        <w:ind w:left="288"/>
      </w:pPr>
      <w:r>
        <w:t xml:space="preserve">• </w:t>
      </w:r>
      <w:hyperlink r:id="rId12">
        <w:r>
          <w:rPr>
            <w:rFonts w:ascii="Noto Sans CJK SC" w:hAnsi="Noto Sans CJK SC" w:eastAsia="Noto Sans CJK SC"/>
            <w:color w:val="1F4E78"/>
            <w:u w:val="single"/>
          </w:rPr>
          <w:t>CUHK-X project homepage</w:t>
        </w:r>
      </w:hyperlink>
    </w:p>
    <w:p>
      <w:pPr>
        <w:ind w:left="288"/>
      </w:pPr>
      <w:r>
        <w:t xml:space="preserve">• </w:t>
      </w:r>
      <w:hyperlink r:id="rId13">
        <w:r>
          <w:rPr>
            <w:rFonts w:ascii="Noto Sans CJK SC" w:hAnsi="Noto Sans CJK SC" w:eastAsia="Noto Sans CJK SC"/>
            <w:color w:val="1F4E78"/>
            <w:u w:val="single"/>
          </w:rPr>
          <w:t>CUHK-X official GitHub repository</w:t>
        </w:r>
      </w:hyperlink>
    </w:p>
    <w:p>
      <w:pPr>
        <w:ind w:left="288"/>
      </w:pPr>
      <w:r>
        <w:t xml:space="preserve">• </w:t>
      </w:r>
      <w:hyperlink r:id="rId14">
        <w:r>
          <w:rPr>
            <w:rFonts w:ascii="Noto Sans CJK SC" w:hAnsi="Noto Sans CJK SC" w:eastAsia="Noto Sans CJK SC"/>
            <w:color w:val="1F4E78"/>
            <w:u w:val="single"/>
          </w:rPr>
          <w:t>CUHK-X Small Model Track dataset card</w:t>
        </w:r>
      </w:hyperlink>
    </w:p>
    <w:p>
      <w:pPr>
        <w:ind w:left="288"/>
      </w:pPr>
      <w:r>
        <w:t xml:space="preserve">• </w:t>
      </w:r>
      <w:hyperlink r:id="rId15">
        <w:r>
          <w:rPr>
            <w:rFonts w:ascii="Noto Sans CJK SC" w:hAnsi="Noto Sans CJK SC" w:eastAsia="Noto Sans CJK SC"/>
            <w:color w:val="1F4E78"/>
            <w:u w:val="single"/>
          </w:rPr>
          <w:t>Kaggle Small Model Track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79" w:bottom="936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6666"/>
        <w:sz w:val="17"/>
      </w:rPr>
      <w:t>CUHK-X Small Model Track  |  项目规划文档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5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D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360" w:right="216"/>
    </w:pPr>
    <w:rPr>
      <w:rFonts w:ascii="Noto Sans Mono CJK SC" w:hAnsi="Noto Sans Mono CJK SC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openaiotlab.github.io/CUHK-X-Challenge/" TargetMode="External"/><Relationship Id="rId12" Type="http://schemas.openxmlformats.org/officeDocument/2006/relationships/hyperlink" Target="https://openaiotlab.github.io/CUHK-X/" TargetMode="External"/><Relationship Id="rId13" Type="http://schemas.openxmlformats.org/officeDocument/2006/relationships/hyperlink" Target="https://github.com/openaiotlab/CUHK-X" TargetMode="External"/><Relationship Id="rId14" Type="http://schemas.openxmlformats.org/officeDocument/2006/relationships/hyperlink" Target="https://huggingface.co/datasets/Kevin-Pal/CUHK-X_Small_Model_Track/blob/main/README.md" TargetMode="External"/><Relationship Id="rId15" Type="http://schemas.openxmlformats.org/officeDocument/2006/relationships/hyperlink" Target="https://www.kaggle.com/competitions/cuhk-x-competition-small-model-track/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