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1：数据审计、统一索引与缓存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目标：在建模前把六种模态的文件结构、时长、缺失和异常彻底摸清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生成一个以“动作片段”为行的统一 manifest，能够从任意 sample_id 找到六种模态、标签、受试者、trial、时间范围、长度和缺失标记；建立可重复的数据读取与缓存层。</w:t>
            </w:r>
          </w:p>
        </w:tc>
      </w:tr>
    </w:tbl>
    <w:p>
      <w:pPr>
        <w:spacing w:after="0"/>
      </w:pPr>
    </w:p>
    <w:p>
      <w:pPr>
        <w:pStyle w:val="Heading1"/>
      </w:pPr>
      <w:r>
        <w:t>1. 为什么这是最高优先级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训练集按 modality/action/user/trial 组织，而测试集按 sample_id/modality 组织，必须建立共同的样本抽象。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六种模态采样率不同，且并非每个片段都有全部模态；直接假定等长会产生隐蔽错误。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Radar 和 Skeleton 的真实字段、点数和 shape 需要以文件内容为准，不能凭名称猜测。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跨受试者验证依赖正确解析 user_id；标签泄漏通常来自路径解析或随机拆分。</w:t>
      </w:r>
    </w:p>
    <w:p>
      <w:pPr>
        <w:pStyle w:val="Heading1"/>
      </w:pPr>
      <w:r>
        <w:t>2. 推荐产物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文件/模块</w:t>
            </w:r>
          </w:p>
        </w:tc>
        <w:tc>
          <w:tcPr>
            <w:tcW w:type="dxa" w:w="46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manifest.parquet</w:t>
            </w:r>
          </w:p>
        </w:tc>
        <w:tc>
          <w:tcPr>
            <w:tcW w:type="dxa" w:w="46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每行一个片段；sample_id、split、action_id、user_id、trial_id、六路路径、六路存在标记、长度统计。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训练、验证和推理的唯一入口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dataset_stats.json</w:t>
            </w:r>
          </w:p>
        </w:tc>
        <w:tc>
          <w:tcPr>
            <w:tcW w:type="dxa" w:w="46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类别数、用户数、每模态缺失率、帧数/行数/点数分布、图像尺寸、CSV 列名。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确定输入长度和采样策略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bad_files.csv</w:t>
            </w:r>
          </w:p>
        </w:tc>
        <w:tc>
          <w:tcPr>
            <w:tcW w:type="dxa" w:w="46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无法解码、空文件、列数异常、时间戳乱序、极端长度。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清洗与容错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sample_viewer.ipynb</w:t>
            </w:r>
          </w:p>
        </w:tc>
        <w:tc>
          <w:tcPr>
            <w:tcW w:type="dxa" w:w="46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同步显示三路图像、IMU 曲线、Radar 点、Skeleton 动画/静态帧。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人工验证对齐和标签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cache/</w:t>
            </w:r>
          </w:p>
        </w:tc>
        <w:tc>
          <w:tcPr>
            <w:tcW w:type="dxa" w:w="46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重采样后的 tensor/npz/parquet；带版本号和预处理哈希。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提高训练速度并避免重复处理</w:t>
            </w:r>
          </w:p>
        </w:tc>
      </w:tr>
    </w:tbl>
    <w:p>
      <w:pPr>
        <w:spacing w:after="0"/>
      </w:pPr>
    </w:p>
    <w:p>
      <w:pPr>
        <w:pStyle w:val="Heading1"/>
      </w:pPr>
      <w:r>
        <w:t>3. manifest 推荐字段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sample_id, split, action_id, action_name, user_id, trial_id,</w:t>
        <w:br/>
        <w:t>path_depth, path_ir, path_thermal, path_imu_up, path_imu_down, path_radar, path_skeleton,</w:t>
        <w:br/>
        <w:t>has_depth, has_ir, has_thermal, has_imu, has_radar, has_skeleton,</w:t>
        <w:br/>
        <w:t>n_depth, n_ir, n_thermal, n_imu_up, n_imu_down, n_radar_frames, n_skeleton_frames,</w:t>
        <w:br/>
        <w:t>duration_estimate, audit_status</w:t>
      </w:r>
    </w:p>
    <w:p>
      <w:pPr>
        <w:pStyle w:val="Heading1"/>
      </w:pPr>
      <w:r>
        <w:t>4. 六模态审计项目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模态</w:t>
            </w:r>
          </w:p>
        </w:tc>
        <w:tc>
          <w:tcPr>
            <w:tcW w:type="dxa" w:w="295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必须统计</w:t>
            </w:r>
          </w:p>
        </w:tc>
        <w:tc>
          <w:tcPr>
            <w:tcW w:type="dxa" w:w="30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第一版缓存建议</w:t>
            </w:r>
          </w:p>
        </w:tc>
        <w:tc>
          <w:tcPr>
            <w:tcW w:type="dxa" w:w="23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2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Depth_Color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图片数量、尺寸、通道、文件名时间戳、颜色映射范围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均匀采样索引 + JPEG/PNG 原图路径；后续再缓存 resize tensor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把伪彩色当普通 RGB 做强颜色增强</w:t>
            </w:r>
          </w:p>
        </w:tc>
      </w:tr>
      <w:tr>
        <w:tc>
          <w:tcPr>
            <w:tcW w:type="dxa" w:w="12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IR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图片数量、尺寸、灰度/三通道、强度范围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单通道 uint8 或 float16；记录有效像素范围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重复成三通道造成无谓 IO，但便于复用 CNN</w:t>
            </w:r>
          </w:p>
        </w:tc>
      </w:tr>
      <w:tr>
        <w:tc>
          <w:tcPr>
            <w:tcW w:type="dxa" w:w="12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Thermal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帧数、尺寸、是否伪彩色、动态范围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单通道优先；若已是彩色渲染则保持原格式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不同片段自动增益导致强度分布漂移</w:t>
            </w:r>
          </w:p>
        </w:tc>
      </w:tr>
      <w:tr>
        <w:tc>
          <w:tcPr>
            <w:tcW w:type="dxa" w:w="12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IMU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up/down CSV 表头、时间戳、列数、NaN、采样间隔、上下身是否同步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合并后的 float32 [T,C] + channel_names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错误拼接时间轴、对测试列顺序做假定</w:t>
            </w:r>
          </w:p>
        </w:tc>
      </w:tr>
      <w:tr>
        <w:tc>
          <w:tcPr>
            <w:tcW w:type="dxa" w:w="12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Radar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 CSV 列名、每帧点数、时间戳、坐标/速度/强度字段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原始点云索引 + 统计特征缓存两套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空帧和变长点数；不同文件字段不一致</w:t>
            </w:r>
          </w:p>
        </w:tc>
      </w:tr>
      <w:tr>
        <w:tc>
          <w:tcPr>
            <w:tcW w:type="dxa" w:w="12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Skeleton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格式、关节数、坐标维度、置信度、多人情况、缺失关节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float32 [T,J,C] + valid_mask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将 visualizations 当训练数据；关节顺序不一致</w:t>
            </w:r>
          </w:p>
        </w:tc>
      </w:tr>
    </w:tbl>
    <w:p>
      <w:pPr>
        <w:spacing w:after="0"/>
      </w:pPr>
    </w:p>
    <w:p>
      <w:pPr>
        <w:pStyle w:val="Heading1"/>
      </w:pPr>
      <w:r>
        <w:t>5. 固定长度候选值：先统计再决定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7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 baseline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主实验候选</w:t>
            </w:r>
          </w:p>
        </w:tc>
        <w:tc>
          <w:tcPr>
            <w:tcW w:type="dxa" w:w="295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选择方法</w:t>
            </w:r>
          </w:p>
        </w:tc>
      </w:tr>
      <w:tr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视觉帧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 帧、160×160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12/16 帧；160/192/224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比较精度增益与显存/速度；先均匀采样</w:t>
            </w:r>
          </w:p>
        </w:tc>
      </w:tr>
      <w:tr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128 时间步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128/256/512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按原始长度分位数和动作细节决定</w:t>
            </w:r>
          </w:p>
        </w:tc>
      </w:tr>
      <w:tr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Radar 帧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 时间步；每帧最多 64 点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32/48/64；64/128/256 点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以空帧率、点数 P50/P90 为依据</w:t>
            </w:r>
          </w:p>
        </w:tc>
      </w:tr>
      <w:tr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Skeleton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64 时间步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64/96/128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保留动作速度变化，同时控制 token 数</w:t>
            </w:r>
          </w:p>
        </w:tc>
      </w:tr>
    </w:tbl>
    <w:p>
      <w:pPr>
        <w:spacing w:after="0"/>
      </w:pPr>
    </w:p>
    <w:p>
      <w:pPr>
        <w:pStyle w:val="Heading1"/>
      </w:pPr>
      <w:r>
        <w:t>6. 推荐实施顺序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编写只读扫描器：不做 resize、不做插值，只解析结构并收集元数据。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随机抽取每类、每用户、每模态至少 3 个样本人工查看。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对 CSV 表头建立 schema；发现多版本 schema 时分别记录。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建立统一 Dataset 接口，返回 raw item + modality mask；先不加入增强。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为数值模态建立训练集统计量文件；统计量只能用训练 fold 计算。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增加缓存版本号，例如 cache_v1_rawstats、cache_v2_resample128。</w:t>
      </w:r>
    </w:p>
    <w:p>
      <w:pPr>
        <w:pStyle w:val="Heading1"/>
      </w:pPr>
      <w:r>
        <w:t>7. 自动化测试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74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路径解析测试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给定 20 个已知路径，action_id/user_id/trial_id 解析完全正确。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全量读取 smoke test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遍历所有样本，只读取头部/元数据，无未捕获异常。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标签一致性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同一片段的六个模态对应相同 action/user/trial。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shape 测试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每个 collate 输出固定 shape，padding mask 与真实长度一致。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缺失模态测试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随机删除一个模态目录，Dataset 仍返回合法 item 和 has_modality=0。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缓存一致性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缓存前后随机 100 个样本数值误差在设定阈值内。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全量 manifest 生成成功；坏文件和缺失率已量化；随机抽样可视化与路径标签一致；Dataset 能对任意模态缺失返回固定结构。未达到时禁止开始大规模训练。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