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阶段 2：跨受试者验证与实验管理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目标：让本地分数尽可能模拟未见受试者测试，并保证所有比较可重复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DOC-02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建立“快速固定验证 + 可靠 Group CV”两级验证体系；任何结构、融合和超参数结论都基于受试者互斥的验证数据，而不是随机片段拆分。</w:t>
            </w:r>
          </w:p>
        </w:tc>
      </w:tr>
    </w:tbl>
    <w:p>
      <w:pPr>
        <w:spacing w:after="0"/>
      </w:pPr>
    </w:p>
    <w:p>
      <w:pPr>
        <w:pStyle w:val="Heading1"/>
      </w:pPr>
      <w:r>
        <w:t>1. 推荐验证方案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1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80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03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划分方式</w:t>
            </w:r>
          </w:p>
        </w:tc>
        <w:tc>
          <w:tcPr>
            <w:tcW w:type="dxa" w:w="244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优点/限制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V0 Smoke</w:t>
            </w:r>
          </w:p>
        </w:tc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调试代码</w:t>
            </w:r>
          </w:p>
        </w:tc>
        <w:tc>
          <w:tcPr>
            <w:tcW w:type="dxa" w:w="40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每类少量样本；可随机，但不用于结论</w:t>
            </w:r>
          </w:p>
        </w:tc>
        <w:tc>
          <w:tcPr>
            <w:tcW w:type="dxa" w:w="244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分钟级；只验证能否训练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V1 固定快速验证</w:t>
            </w:r>
          </w:p>
        </w:tc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日常筛选</w:t>
            </w:r>
          </w:p>
        </w:tc>
        <w:tc>
          <w:tcPr>
            <w:tcW w:type="dxa" w:w="40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固定留出 3–4 名训练受试者，所有模态按样本共同划分</w:t>
            </w:r>
          </w:p>
        </w:tc>
        <w:tc>
          <w:tcPr>
            <w:tcW w:type="dxa" w:w="244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速度快、结果可比；对单一人员组合敏感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V2 3 折 Group CV</w:t>
            </w:r>
          </w:p>
        </w:tc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可靠模型比较</w:t>
            </w:r>
          </w:p>
        </w:tc>
        <w:tc>
          <w:tcPr>
            <w:tcW w:type="dxa" w:w="40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18 名训练用户分成 3 组，每折约 6 名；类别分布尽量平衡</w:t>
            </w:r>
          </w:p>
        </w:tc>
        <w:tc>
          <w:tcPr>
            <w:tcW w:type="dxa" w:w="244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模拟跨受试者；训练成本约 3 倍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V3 多次留人验证</w:t>
            </w:r>
          </w:p>
        </w:tc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最终稳健性</w:t>
            </w:r>
          </w:p>
        </w:tc>
        <w:tc>
          <w:tcPr>
            <w:tcW w:type="dxa" w:w="40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重复 3–5 次留出 4 名用户，记录均值/方差</w:t>
            </w:r>
          </w:p>
        </w:tc>
        <w:tc>
          <w:tcPr>
            <w:tcW w:type="dxa" w:w="244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评估对特定人的敏感性；成本较高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 xml:space="preserve">规则/风险提示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绝对禁止把同一 user 的不同 trial 同时放入训练集和验证集。随机按 clip 拆分通常会严重高估跨受试者性能。</w:t>
            </w:r>
          </w:p>
        </w:tc>
      </w:tr>
    </w:tbl>
    <w:p>
      <w:pPr>
        <w:spacing w:after="0"/>
      </w:pPr>
    </w:p>
    <w:p>
      <w:pPr>
        <w:pStyle w:val="Heading1"/>
      </w:pPr>
      <w:r>
        <w:t>2. 建议的指标集合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0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04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Accuracy</w:t>
            </w:r>
          </w:p>
        </w:tc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主指标</w:t>
            </w:r>
          </w:p>
        </w:tc>
        <w:tc>
          <w:tcPr>
            <w:tcW w:type="dxa" w:w="604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与 40 类单标签分类和官方复现中的 accuracy 表述一致。</w:t>
            </w:r>
          </w:p>
        </w:tc>
      </w:tr>
      <w:tr>
        <w:tc>
          <w:tcPr>
            <w:tcW w:type="dxa" w:w="19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Macro-F1</w:t>
            </w:r>
          </w:p>
        </w:tc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重要副指标</w:t>
            </w:r>
          </w:p>
        </w:tc>
        <w:tc>
          <w:tcPr>
            <w:tcW w:type="dxa" w:w="604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防止模型只在高频类别上表现好。</w:t>
            </w:r>
          </w:p>
        </w:tc>
      </w:tr>
      <w:tr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Per-class recall</w:t>
            </w:r>
          </w:p>
        </w:tc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诊断</w:t>
            </w:r>
          </w:p>
        </w:tc>
        <w:tc>
          <w:tcPr>
            <w:tcW w:type="dxa" w:w="604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找出容易混淆或被忽略的动作。</w:t>
            </w:r>
          </w:p>
        </w:tc>
      </w:tr>
      <w:tr>
        <w:tc>
          <w:tcPr>
            <w:tcW w:type="dxa" w:w="19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Fold mean ± std</w:t>
            </w:r>
          </w:p>
        </w:tc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稳健性</w:t>
            </w:r>
          </w:p>
        </w:tc>
        <w:tc>
          <w:tcPr>
            <w:tcW w:type="dxa" w:w="604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同均值时优先标准差更小的模型。</w:t>
            </w:r>
          </w:p>
        </w:tc>
      </w:tr>
      <w:tr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NLL / ECE</w:t>
            </w:r>
          </w:p>
        </w:tc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融合与校准</w:t>
            </w:r>
          </w:p>
        </w:tc>
        <w:tc>
          <w:tcPr>
            <w:tcW w:type="dxa" w:w="604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晚期融合前判断各模态概率是否过度自信。</w:t>
            </w:r>
          </w:p>
        </w:tc>
      </w:tr>
      <w:tr>
        <w:tc>
          <w:tcPr>
            <w:tcW w:type="dxa" w:w="19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Size / latency</w:t>
            </w:r>
          </w:p>
        </w:tc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约束指标</w:t>
            </w:r>
          </w:p>
        </w:tc>
        <w:tc>
          <w:tcPr>
            <w:tcW w:type="dxa" w:w="604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与准确率共同形成 Pareto 前沿。</w:t>
            </w:r>
          </w:p>
        </w:tc>
      </w:tr>
    </w:tbl>
    <w:p>
      <w:pPr>
        <w:spacing w:after="0"/>
      </w:pPr>
    </w:p>
    <w:p>
      <w:pPr>
        <w:pStyle w:val="Heading1"/>
      </w:pPr>
      <w:r>
        <w:t>3. 类别与用户平衡策略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先统计每个 user × action 的样本数，再分折；目标是每折类别覆盖尽量一致。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训练 DataLoader 可用 WeightedRandomSampler 或 class-balanced batch，但验证集保持自然分布。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类别不平衡不严重时优先普通 CrossEntropy + label smoothing 0.05；避免过早使用复杂重加权。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若少数类召回明显低，可比较 class weight、Balanced Softmax、focal loss；每次只改变损失。</w:t>
      </w:r>
    </w:p>
    <w:p>
      <w:pPr>
        <w:pStyle w:val="Heading1"/>
      </w:pPr>
      <w:r>
        <w:t>4. 统一训练协议：Baseline 默认值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65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0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32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候选范围</w:t>
            </w:r>
          </w:p>
        </w:tc>
        <w:tc>
          <w:tcPr>
            <w:tcW w:type="dxa" w:w="280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6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优化器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AdamW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AdamW / SGD+momentum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异构小模型优先 AdamW；CNN 成熟后可试 SGD。</w:t>
            </w:r>
          </w:p>
        </w:tc>
      </w:tr>
      <w:tr>
        <w:tc>
          <w:tcPr>
            <w:tcW w:type="dxa" w:w="16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初始学习率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3e-4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1e-4 / 3e-4 / 1e-3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按有效 batch size 线性调整。</w:t>
            </w:r>
          </w:p>
        </w:tc>
      </w:tr>
      <w:tr>
        <w:tc>
          <w:tcPr>
            <w:tcW w:type="dxa" w:w="16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weight decay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1e-4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1e-5 / 1e-4 / 5e-4 / 1e-3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Transformer 通常需要较强正则。</w:t>
            </w:r>
          </w:p>
        </w:tc>
      </w:tr>
      <w:tr>
        <w:tc>
          <w:tcPr>
            <w:tcW w:type="dxa" w:w="16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调度器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cosine + 5% warmup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cosine / OneCycle / plateau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所有结构比较时先固定。</w:t>
            </w:r>
          </w:p>
        </w:tc>
      </w:tr>
      <w:tr>
        <w:tc>
          <w:tcPr>
            <w:tcW w:type="dxa" w:w="16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epoch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50–80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30 快筛；100–150 精修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保存 best accuracy 与 best macro-F1。</w:t>
            </w:r>
          </w:p>
        </w:tc>
      </w:tr>
      <w:tr>
        <w:tc>
          <w:tcPr>
            <w:tcW w:type="dxa" w:w="16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label smoothing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0.05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 / 0.05 / 0.1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融合概率时过大可能影响校准。</w:t>
            </w:r>
          </w:p>
        </w:tc>
      </w:tr>
      <w:tr>
        <w:tc>
          <w:tcPr>
            <w:tcW w:type="dxa" w:w="16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梯度裁剪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1.0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0.5 / 1 / 5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GRU/Transformer 建议开启。</w:t>
            </w:r>
          </w:p>
        </w:tc>
      </w:tr>
      <w:tr>
        <w:tc>
          <w:tcPr>
            <w:tcW w:type="dxa" w:w="16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随机种子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42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42/3407/2026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最终候选至少 2–3 个 seed。</w:t>
            </w:r>
          </w:p>
        </w:tc>
      </w:tr>
    </w:tbl>
    <w:p>
      <w:pPr>
        <w:spacing w:after="0"/>
      </w:pPr>
    </w:p>
    <w:p>
      <w:pPr>
        <w:pStyle w:val="Heading1"/>
      </w:pPr>
      <w:r>
        <w:t>5. 实验比较规则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快速筛选：同一 V1、同一 seed、同一训练预算，只比较一个主要因素。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进入 V2 的条件：V1 至少提升 0.5–1.0 个百分点，或在相近精度下显著更小/更快。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最终保留：看 3 折均值、标准差、最差折和每类召回，不只看最佳折。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Kaggle 公榜只用于验证方向，不用于反复手调到测试集。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保存 OOF logits 的行顺序必须与 manifest sample_id 一一对应。</w:t>
      </w:r>
    </w:p>
    <w:p>
      <w:pPr>
        <w:pStyle w:val="Heading1"/>
      </w:pPr>
      <w:r>
        <w:t>6. 目录与配置规范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333333"/>
          <w:sz w:val="18"/>
        </w:rPr>
        <w:t>configs/</w:t>
        <w:br/>
        <w:t xml:space="preserve">  data/*.yaml</w:t>
        <w:br/>
        <w:t xml:space="preserve">  model/*.yaml</w:t>
        <w:br/>
        <w:t xml:space="preserve">  experiment/*.yaml</w:t>
        <w:br/>
        <w:t>splits/group_cv_v1.json</w:t>
        <w:br/>
        <w:t>runs/&lt;experiment_id&gt;/</w:t>
        <w:br/>
        <w:t xml:space="preserve">  config_resolved.yaml  metrics.json  history.csv  checkpoint_best.pth</w:t>
        <w:br/>
        <w:t xml:space="preserve">  oof_logits.npy  oof_ids.csv  confusion_matrix.png  size_report.json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同一配置重复运行得到近似结果；V1 与 V2 均无用户重叠；每个实验有完整配置、指标、checkpoint 和 OOF；模型选择规则在看 Kaggle 分数之前已经固定。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