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阶段 3：六种单模态 Baseline 方案库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3"/>
        </w:rPr>
        <w:t>目标：每种模态建立可收敛、可比较、可输出 OOF 的高成功率基线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 v0.1  |  2026-07-14  |  DOC-03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阶段目标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不是立刻寻找每个模态的绝对最优，而是用少量高质量候选覆盖 CNN、RNN 和 Transformer 的主要路线；筛出每模态 1–2 个稳定编码器，为后续融合提供 logits 和 embedding。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 xml:space="preserve">规则/风险提示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小型 ImageNet 预训练是否允许需要确认。文档中的主方案均可从头训练；预训练版本只作为规则确认后的额外实验。</w:t>
            </w:r>
          </w:p>
        </w:tc>
      </w:tr>
    </w:tbl>
    <w:p>
      <w:pPr>
        <w:spacing w:after="0"/>
      </w:pPr>
    </w:p>
    <w:p>
      <w:pPr>
        <w:pStyle w:val="Heading1"/>
      </w:pPr>
      <w:r>
        <w:t>1. 所有单模态模型的统一输出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333333"/>
          <w:sz w:val="18"/>
        </w:rPr>
        <w:t>forward(x, valid_mask) -&gt; {</w:t>
        <w:br/>
        <w:t xml:space="preserve">  "embedding": Tensor[B, D],   # 推荐 D=128 或 256</w:t>
        <w:br/>
        <w:t xml:space="preserve">  "logits": Tensor[B, 40],</w:t>
        <w:br/>
        <w:t xml:space="preserve">  "aux": {...}</w:t>
        <w:br/>
        <w:t>}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embedding 维度统一为 128 或 256，便于后续融合。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每个模型必须支持变长 mask 或预先固定长度。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保存验证集 logits、embedding、真实标签、sample_id。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首先不加复杂对齐与多模态损失，确保单支本身可解释。</w:t>
      </w:r>
    </w:p>
    <w:p>
      <w:pPr>
        <w:pStyle w:val="Heading1"/>
      </w:pPr>
      <w:r>
        <w:t>2. 三种视觉模态：Depth_Color / IR / Thermal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4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候选</w:t>
            </w:r>
          </w:p>
        </w:tc>
        <w:tc>
          <w:tcPr>
            <w:tcW w:type="dxa" w:w="259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空间编码器</w:t>
            </w:r>
          </w:p>
        </w:tc>
        <w:tc>
          <w:tcPr>
            <w:tcW w:type="dxa" w:w="237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时间模块</w:t>
            </w:r>
          </w:p>
        </w:tc>
        <w:tc>
          <w:tcPr>
            <w:tcW w:type="dxa" w:w="180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建议输入</w:t>
            </w:r>
          </w:p>
        </w:tc>
        <w:tc>
          <w:tcPr>
            <w:tcW w:type="dxa" w:w="201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优先级与用途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V-A 安全基线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MobileNetV3-Small 或 ShuffleNetV2 x1.0</w:t>
            </w:r>
          </w:p>
        </w:tc>
        <w:tc>
          <w:tcPr>
            <w:tcW w:type="dxa" w:w="23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平均池化</w:t>
            </w:r>
          </w:p>
        </w:tc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8/12 帧，160/192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最高优先；训练稳定、参数小、方便共享骨干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V-B 强基线</w:t>
            </w:r>
          </w:p>
        </w:tc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EfficientNet-B0 或 MobileNetV3-Large</w:t>
            </w:r>
          </w:p>
        </w:tc>
        <w:tc>
          <w:tcPr>
            <w:tcW w:type="dxa" w:w="23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平均+最大池化 / 轻量 TCN</w:t>
            </w:r>
          </w:p>
        </w:tc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12/16 帧，192/224</w:t>
            </w:r>
          </w:p>
        </w:tc>
        <w:tc>
          <w:tcPr>
            <w:tcW w:type="dxa" w:w="20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通常比极小网络更强，仍适合 100 MB 总预算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V-C 传统参照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ResNet18</w:t>
            </w:r>
          </w:p>
        </w:tc>
        <w:tc>
          <w:tcPr>
            <w:tcW w:type="dxa" w:w="23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平均池化 / 1 层 GRU</w:t>
            </w:r>
          </w:p>
        </w:tc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8/12 帧，160/224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单模态可靠参照；三视觉分支独立时过大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V-D 时序 CNN</w:t>
            </w:r>
          </w:p>
        </w:tc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MobileNetV3-Small</w:t>
            </w:r>
          </w:p>
        </w:tc>
        <w:tc>
          <w:tcPr>
            <w:tcW w:type="dxa" w:w="23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2–3 层 depthwise TCN</w:t>
            </w:r>
          </w:p>
        </w:tc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16 帧，192</w:t>
            </w:r>
          </w:p>
        </w:tc>
        <w:tc>
          <w:tcPr>
            <w:tcW w:type="dxa" w:w="20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动作顺序重要时优先于 GRU，速度好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V-E 轻量视频 CNN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X3D-XS / 自定义 3D depthwise CNN</w:t>
            </w:r>
          </w:p>
        </w:tc>
        <w:tc>
          <w:tcPr>
            <w:tcW w:type="dxa" w:w="23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内部时空卷积</w:t>
            </w:r>
          </w:p>
        </w:tc>
        <w:tc>
          <w:tcPr>
            <w:tcW w:type="dxa" w:w="180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16×160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可能利用局部运动；实现/显存风险更高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V-F Tiny Transformer</w:t>
            </w:r>
          </w:p>
        </w:tc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轻量 2D CNN</w:t>
            </w:r>
          </w:p>
        </w:tc>
        <w:tc>
          <w:tcPr>
            <w:tcW w:type="dxa" w:w="23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2 层 Transformer，d=128/192</w:t>
            </w:r>
          </w:p>
        </w:tc>
        <w:tc>
          <w:tcPr>
            <w:tcW w:type="dxa" w:w="180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12/16 帧，192</w:t>
            </w:r>
          </w:p>
        </w:tc>
        <w:tc>
          <w:tcPr>
            <w:tcW w:type="dxa" w:w="201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在 baseline 稳定后尝试，不应先于 V-A/V-B</w:t>
            </w:r>
          </w:p>
        </w:tc>
      </w:tr>
    </w:tbl>
    <w:p>
      <w:pPr>
        <w:spacing w:after="0"/>
      </w:pPr>
    </w:p>
    <w:p>
      <w:pPr>
        <w:pStyle w:val="Heading2"/>
      </w:pPr>
      <w:r>
        <w:t>2.1 视觉默认参数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51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30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首选</w:t>
            </w:r>
          </w:p>
        </w:tc>
        <w:tc>
          <w:tcPr>
            <w:tcW w:type="dxa" w:w="302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搜索值</w:t>
            </w:r>
          </w:p>
        </w:tc>
        <w:tc>
          <w:tcPr>
            <w:tcW w:type="dxa" w:w="331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注意事项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帧采样</w:t>
            </w:r>
          </w:p>
        </w:tc>
        <w:tc>
          <w:tcPr>
            <w:tcW w:type="dxa" w:w="23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全片均匀 12 帧</w:t>
            </w:r>
          </w:p>
        </w:tc>
        <w:tc>
          <w:tcPr>
            <w:tcW w:type="dxa" w:w="30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8/12/16/24</w:t>
            </w:r>
          </w:p>
        </w:tc>
        <w:tc>
          <w:tcPr>
            <w:tcW w:type="dxa" w:w="33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训练可加随机时间起点和轻微速度扰动。</w:t>
            </w:r>
          </w:p>
        </w:tc>
      </w:tr>
      <w:tr>
        <w:tc>
          <w:tcPr>
            <w:tcW w:type="dxa" w:w="15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分辨率</w:t>
            </w:r>
          </w:p>
        </w:tc>
        <w:tc>
          <w:tcPr>
            <w:tcW w:type="dxa" w:w="23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192×192</w:t>
            </w:r>
          </w:p>
        </w:tc>
        <w:tc>
          <w:tcPr>
            <w:tcW w:type="dxa" w:w="30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160/192/224</w:t>
            </w:r>
          </w:p>
        </w:tc>
        <w:tc>
          <w:tcPr>
            <w:tcW w:type="dxa" w:w="33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先验证 192；224 增益需覆盖额外计算。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输入通道</w:t>
            </w:r>
          </w:p>
        </w:tc>
        <w:tc>
          <w:tcPr>
            <w:tcW w:type="dxa" w:w="23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Depth 3；IR/Thermal 1</w:t>
            </w:r>
          </w:p>
        </w:tc>
        <w:tc>
          <w:tcPr>
            <w:tcW w:type="dxa" w:w="30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IR/Thermal 复制 3 通道作为兼容方案</w:t>
            </w:r>
          </w:p>
        </w:tc>
        <w:tc>
          <w:tcPr>
            <w:tcW w:type="dxa" w:w="33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单通道 stem 更省 IO；共享骨干时适配到统一通道。</w:t>
            </w:r>
          </w:p>
        </w:tc>
      </w:tr>
      <w:tr>
        <w:tc>
          <w:tcPr>
            <w:tcW w:type="dxa" w:w="15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pooling</w:t>
            </w:r>
          </w:p>
        </w:tc>
        <w:tc>
          <w:tcPr>
            <w:tcW w:type="dxa" w:w="23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时间 mean</w:t>
            </w:r>
          </w:p>
        </w:tc>
        <w:tc>
          <w:tcPr>
            <w:tcW w:type="dxa" w:w="30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mean / max / mean+max / attention</w:t>
            </w:r>
          </w:p>
        </w:tc>
        <w:tc>
          <w:tcPr>
            <w:tcW w:type="dxa" w:w="33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mean 是高成功率起点。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增强</w:t>
            </w:r>
          </w:p>
        </w:tc>
        <w:tc>
          <w:tcPr>
            <w:tcW w:type="dxa" w:w="230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随机裁剪、平移、轻微旋转、时间裁剪</w:t>
            </w:r>
          </w:p>
        </w:tc>
        <w:tc>
          <w:tcPr>
            <w:tcW w:type="dxa" w:w="30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flip、噪声、模糊、强度 jitter</w:t>
            </w:r>
          </w:p>
        </w:tc>
        <w:tc>
          <w:tcPr>
            <w:tcW w:type="dxa" w:w="33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左右动作存在时不要盲目水平翻转；Depth 避免强颜色抖动。</w:t>
            </w:r>
          </w:p>
        </w:tc>
      </w:tr>
      <w:tr>
        <w:tc>
          <w:tcPr>
            <w:tcW w:type="dxa" w:w="15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dropout</w:t>
            </w:r>
          </w:p>
        </w:tc>
        <w:tc>
          <w:tcPr>
            <w:tcW w:type="dxa" w:w="230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0.2</w:t>
            </w:r>
          </w:p>
        </w:tc>
        <w:tc>
          <w:tcPr>
            <w:tcW w:type="dxa" w:w="30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0.1/0.2/0.3/0.5</w:t>
            </w:r>
          </w:p>
        </w:tc>
        <w:tc>
          <w:tcPr>
            <w:tcW w:type="dxa" w:w="33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小数据和跨人泛化可适当增加。</w:t>
            </w:r>
          </w:p>
        </w:tc>
      </w:tr>
    </w:tbl>
    <w:p>
      <w:pPr>
        <w:spacing w:after="0"/>
      </w:pPr>
    </w:p>
    <w:p>
      <w:pPr>
        <w:pStyle w:val="Heading2"/>
      </w:pPr>
      <w:r>
        <w:t>2.2 每种视觉模态的首轮实验顺序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4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模态</w:t>
            </w:r>
          </w:p>
        </w:tc>
        <w:tc>
          <w:tcPr>
            <w:tcW w:type="dxa" w:w="237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第 1 个模型</w:t>
            </w:r>
          </w:p>
        </w:tc>
        <w:tc>
          <w:tcPr>
            <w:tcW w:type="dxa" w:w="237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第 2 个模型</w:t>
            </w:r>
          </w:p>
        </w:tc>
        <w:tc>
          <w:tcPr>
            <w:tcW w:type="dxa" w:w="259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第 3 个模型</w:t>
            </w:r>
          </w:p>
        </w:tc>
        <w:tc>
          <w:tcPr>
            <w:tcW w:type="dxa" w:w="28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预期关注点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Depth_Color</w:t>
            </w:r>
          </w:p>
        </w:tc>
        <w:tc>
          <w:tcPr>
            <w:tcW w:type="dxa" w:w="23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MobileNetV3-S + mean</w:t>
            </w:r>
          </w:p>
        </w:tc>
        <w:tc>
          <w:tcPr>
            <w:tcW w:type="dxa" w:w="23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EffNet-B0 + mean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MobileNetV3-S + TCN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空间轮廓强；避免把伪彩色当真实颜色。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IR</w:t>
            </w:r>
          </w:p>
        </w:tc>
        <w:tc>
          <w:tcPr>
            <w:tcW w:type="dxa" w:w="23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MobileNetV3-S + mean</w:t>
            </w:r>
          </w:p>
        </w:tc>
        <w:tc>
          <w:tcPr>
            <w:tcW w:type="dxa" w:w="23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EffNet-B0 + mean+max</w:t>
            </w:r>
          </w:p>
        </w:tc>
        <w:tc>
          <w:tcPr>
            <w:tcW w:type="dxa" w:w="259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MobileNetV3-S + GRU/TCN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灰度纹理与轮廓；可比较单通道 stem。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Thermal</w:t>
            </w:r>
          </w:p>
        </w:tc>
        <w:tc>
          <w:tcPr>
            <w:tcW w:type="dxa" w:w="23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MobileNetV3-S + mean</w:t>
            </w:r>
          </w:p>
        </w:tc>
        <w:tc>
          <w:tcPr>
            <w:tcW w:type="dxa" w:w="23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EffNet-B0 + mean</w:t>
            </w:r>
          </w:p>
        </w:tc>
        <w:tc>
          <w:tcPr>
            <w:tcW w:type="dxa" w:w="259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MobileNetV3-S + TCN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官方基准显示热模态潜力较高，优先充分调参。</w:t>
            </w:r>
          </w:p>
        </w:tc>
      </w:tr>
    </w:tbl>
    <w:p>
      <w:pPr>
        <w:spacing w:after="0"/>
      </w:pPr>
    </w:p>
    <w:p>
      <w:pPr>
        <w:pStyle w:val="Heading1"/>
      </w:pPr>
      <w:r>
        <w:t>3. IMU：高成功率方案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22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候选</w:t>
            </w:r>
          </w:p>
        </w:tc>
        <w:tc>
          <w:tcPr>
            <w:tcW w:type="dxa" w:w="223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结构</w:t>
            </w:r>
          </w:p>
        </w:tc>
        <w:tc>
          <w:tcPr>
            <w:tcW w:type="dxa" w:w="338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关键参数</w:t>
            </w:r>
          </w:p>
        </w:tc>
        <w:tc>
          <w:tcPr>
            <w:tcW w:type="dxa" w:w="223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优点</w:t>
            </w:r>
          </w:p>
        </w:tc>
        <w:tc>
          <w:tcPr>
            <w:tcW w:type="dxa" w:w="208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风险/适用</w:t>
            </w:r>
          </w:p>
        </w:tc>
      </w:tr>
      <w:tr>
        <w:tc>
          <w:tcPr>
            <w:tcW w:type="dxa" w:w="12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I-A 首选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InceptionTime-Small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3 blocks；filters 32/64；kernels 9/19/39；resample 256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多尺度卷积适合不同动作频率，通常训练稳定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实现稍复杂但参数小</w:t>
            </w:r>
          </w:p>
        </w:tc>
      </w:tr>
      <w:tr>
        <w:tc>
          <w:tcPr>
            <w:tcW w:type="dxa" w:w="12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I-B 首选</w:t>
            </w:r>
          </w:p>
        </w:tc>
        <w:tc>
          <w:tcPr>
            <w:tcW w:type="dxa" w:w="22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TCN / ResNet1D</w:t>
            </w:r>
          </w:p>
        </w:tc>
        <w:tc>
          <w:tcPr>
            <w:tcW w:type="dxa" w:w="33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channels 64-128-256；kernel 5；dilation 1/2/4/8</w:t>
            </w:r>
          </w:p>
        </w:tc>
        <w:tc>
          <w:tcPr>
            <w:tcW w:type="dxa" w:w="22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并行、稳、对长序列有效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需正确 mask/padding</w:t>
            </w:r>
          </w:p>
        </w:tc>
      </w:tr>
      <w:tr>
        <w:tc>
          <w:tcPr>
            <w:tcW w:type="dxa" w:w="12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I-C 参照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1–2 层 BiGRU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hidden 128/256；dropout 0.2；length 256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直观处理时序，强基线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速度较慢，可能过拟合受试者习惯</w:t>
            </w:r>
          </w:p>
        </w:tc>
      </w:tr>
      <w:tr>
        <w:tc>
          <w:tcPr>
            <w:tcW w:type="dxa" w:w="12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I-D Tiny Transformer</w:t>
            </w:r>
          </w:p>
        </w:tc>
        <w:tc>
          <w:tcPr>
            <w:tcW w:type="dxa" w:w="22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2–4 layers</w:t>
            </w:r>
          </w:p>
        </w:tc>
        <w:tc>
          <w:tcPr>
            <w:tcW w:type="dxa" w:w="33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d=128；heads 4；ffn 256/512；patch stride 2/4</w:t>
            </w:r>
          </w:p>
        </w:tc>
        <w:tc>
          <w:tcPr>
            <w:tcW w:type="dxa" w:w="22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可建模长距离关系</w:t>
            </w:r>
          </w:p>
        </w:tc>
        <w:tc>
          <w:tcPr>
            <w:tcW w:type="dxa" w:w="208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数据量不足时不一定优于 TCN</w:t>
            </w:r>
          </w:p>
        </w:tc>
      </w:tr>
      <w:tr>
        <w:tc>
          <w:tcPr>
            <w:tcW w:type="dxa" w:w="12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I-E 双分支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upper encoder + lower encoder</w:t>
            </w:r>
          </w:p>
        </w:tc>
        <w:tc>
          <w:tcPr>
            <w:tcW w:type="dxa" w:w="33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各 TCN 64/128；融合 128/256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利用 up/down 身体区域结构</w:t>
            </w:r>
          </w:p>
        </w:tc>
        <w:tc>
          <w:tcPr>
            <w:tcW w:type="dxa" w:w="208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需先对齐两个 CSV 时间轴</w:t>
            </w:r>
          </w:p>
        </w:tc>
      </w:tr>
    </w:tbl>
    <w:p>
      <w:pPr>
        <w:spacing w:after="0"/>
      </w:pPr>
    </w:p>
    <w:p>
      <w:pPr>
        <w:pStyle w:val="Heading2"/>
      </w:pPr>
      <w:r>
        <w:t>3.1 IMU 预处理候选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基础：按训练 fold 对每个传感器通道做 z-score，整段插值到 256；保留真实长度 mask。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通道组织 A：up/down 时间对齐后直接拼接；适合统一 TCN。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通道组织 B：上身和下身分别编码再融合；适合动作区域差异明显的情况。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增强：高斯噪声 σ=0.005–0.02、幅度缩放 0.9–1.1、时间伸缩 0.9–1.1、随机通道 dropout 0.05–0.1。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派生特征仅在 raw baseline 稳定后加入：三轴模长、差分/速度、局部统计；避免一次性堆很多人工特征。</w:t>
      </w:r>
    </w:p>
    <w:p>
      <w:pPr>
        <w:pStyle w:val="Heading1"/>
      </w:pPr>
      <w:r>
        <w:t>4. Skeleton：高成功率方案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4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</w:t>
            </w:r>
          </w:p>
        </w:tc>
        <w:tc>
          <w:tcPr>
            <w:tcW w:type="dxa" w:w="237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输入表示</w:t>
            </w:r>
          </w:p>
        </w:tc>
        <w:tc>
          <w:tcPr>
            <w:tcW w:type="dxa" w:w="223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</w:t>
            </w:r>
          </w:p>
        </w:tc>
        <w:tc>
          <w:tcPr>
            <w:tcW w:type="dxa" w:w="28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关键参数</w:t>
            </w:r>
          </w:p>
        </w:tc>
        <w:tc>
          <w:tcPr>
            <w:tcW w:type="dxa" w:w="158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S-A 安全首选</w:t>
            </w:r>
          </w:p>
        </w:tc>
        <w:tc>
          <w:tcPr>
            <w:tcW w:type="dxa" w:w="23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root-centered [T,J,3] + velocity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Temporal Conv / TCN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T=64/96；channels 64/128/256；kernel 3/5</w:t>
            </w:r>
          </w:p>
        </w:tc>
        <w:tc>
          <w:tcPr>
            <w:tcW w:type="dxa" w:w="15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最高；规则风险低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S-B 图像化骨架</w:t>
            </w:r>
          </w:p>
        </w:tc>
        <w:tc>
          <w:tcPr>
            <w:tcW w:type="dxa" w:w="23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[C,T,J] 关节-时间图</w:t>
            </w:r>
          </w:p>
        </w:tc>
        <w:tc>
          <w:tcPr>
            <w:tcW w:type="dxa" w:w="22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小型 2D CNN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4 stages；base channels 32/64</w:t>
            </w:r>
          </w:p>
        </w:tc>
        <w:tc>
          <w:tcPr>
            <w:tcW w:type="dxa" w:w="15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高；可利用关节邻域和时间纹理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S-C GRU</w:t>
            </w:r>
          </w:p>
        </w:tc>
        <w:tc>
          <w:tcPr>
            <w:tcW w:type="dxa" w:w="23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flatten joints [T,J×C]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 层 BiGRU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hidden 128/256</w:t>
            </w:r>
          </w:p>
        </w:tc>
        <w:tc>
          <w:tcPr>
            <w:tcW w:type="dxa" w:w="15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中；实现简单参照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S-D Tiny Transformer</w:t>
            </w:r>
          </w:p>
        </w:tc>
        <w:tc>
          <w:tcPr>
            <w:tcW w:type="dxa" w:w="237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每帧 pose token 或 joint token</w:t>
            </w:r>
          </w:p>
        </w:tc>
        <w:tc>
          <w:tcPr>
            <w:tcW w:type="dxa" w:w="223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2–4 layers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d=128/192；heads 4；T=64</w:t>
            </w:r>
          </w:p>
        </w:tc>
        <w:tc>
          <w:tcPr>
            <w:tcW w:type="dxa" w:w="15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中；潜力高但需正则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S-E ST-GCN</w:t>
            </w:r>
          </w:p>
        </w:tc>
        <w:tc>
          <w:tcPr>
            <w:tcW w:type="dxa" w:w="237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骨架图 + 时间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轻量 ST-GCN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3–6 blocks；channels 32–128</w:t>
            </w:r>
          </w:p>
        </w:tc>
        <w:tc>
          <w:tcPr>
            <w:tcW w:type="dxa" w:w="15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规则确认后；骨架专用强路线</w:t>
            </w:r>
          </w:p>
        </w:tc>
      </w:tr>
    </w:tbl>
    <w:p>
      <w:pPr>
        <w:spacing w:after="0"/>
      </w:pP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坐标预处理首选：以髋/躯干中心为原点，按肩宽或骨架尺度归一化。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强烈建议加入 motion channels：一阶速度、骨向量；它们常比盲目加深模型更有效。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对缺失关节保留 confidence/valid mask，不要简单当成真实零坐标。</w:t>
      </w:r>
    </w:p>
    <w:p>
      <w:pPr>
        <w:ind w:left="288" w:hanging="230"/>
      </w:pPr>
      <w:r>
        <w:rPr>
          <w:rFonts w:ascii="Noto Sans CJK SC" w:hAnsi="Noto Sans CJK SC" w:eastAsia="Noto Sans CJK SC"/>
          <w:b w:val="0"/>
          <w:color w:val="1F4E78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若多人骨架存在，先确定主人体选择规则并固定。</w:t>
      </w:r>
    </w:p>
    <w:p>
      <w:pPr>
        <w:pStyle w:val="Heading1"/>
      </w:pPr>
      <w:r>
        <w:t>5. Radar：先根据真实 schema 分流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58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路线</w:t>
            </w:r>
          </w:p>
        </w:tc>
        <w:tc>
          <w:tcPr>
            <w:tcW w:type="dxa" w:w="244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适用数据</w:t>
            </w:r>
          </w:p>
        </w:tc>
        <w:tc>
          <w:tcPr>
            <w:tcW w:type="dxa" w:w="252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</w:t>
            </w:r>
          </w:p>
        </w:tc>
        <w:tc>
          <w:tcPr>
            <w:tcW w:type="dxa" w:w="3024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建议参数</w:t>
            </w:r>
          </w:p>
        </w:tc>
        <w:tc>
          <w:tcPr>
            <w:tcW w:type="dxa" w:w="14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5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R-A 统计序列</w:t>
            </w:r>
          </w:p>
        </w:tc>
        <w:tc>
          <w:tcPr>
            <w:tcW w:type="dxa" w:w="244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每帧变长点云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每帧统计特征 + TCN/GRU</w:t>
            </w:r>
          </w:p>
        </w:tc>
        <w:tc>
          <w:tcPr>
            <w:tcW w:type="dxa" w:w="30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32/48 帧；均值/标准差/范围/速度/点数等 20–50 维</w:t>
            </w:r>
          </w:p>
        </w:tc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最高；最稳的第一版</w:t>
            </w:r>
          </w:p>
        </w:tc>
      </w:tr>
      <w:tr>
        <w:tc>
          <w:tcPr>
            <w:tcW w:type="dxa" w:w="15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R-B PointNet+TCN</w:t>
            </w:r>
          </w:p>
        </w:tc>
        <w:tc>
          <w:tcPr>
            <w:tcW w:type="dxa" w:w="244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每帧点特征 x,y,z,v,intensity</w:t>
            </w:r>
          </w:p>
        </w:tc>
        <w:tc>
          <w:tcPr>
            <w:tcW w:type="dxa" w:w="252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共享 MLP(1D CNN)+max/mean pool+TCN</w:t>
            </w:r>
          </w:p>
        </w:tc>
        <w:tc>
          <w:tcPr>
            <w:tcW w:type="dxa" w:w="30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每帧 64/128 点；point dim 4–6；frame emb 128</w:t>
            </w:r>
          </w:p>
        </w:tc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高；通常优于纯统计</w:t>
            </w:r>
          </w:p>
        </w:tc>
      </w:tr>
      <w:tr>
        <w:tc>
          <w:tcPr>
            <w:tcW w:type="dxa" w:w="158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R-C 体素/BEV</w:t>
            </w:r>
          </w:p>
        </w:tc>
        <w:tc>
          <w:tcPr>
            <w:tcW w:type="dxa" w:w="244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可稳定栅格化空间点</w:t>
            </w:r>
          </w:p>
        </w:tc>
        <w:tc>
          <w:tcPr>
            <w:tcW w:type="dxa" w:w="252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小型 2D CNN + temporal pool</w:t>
            </w:r>
          </w:p>
        </w:tc>
        <w:tc>
          <w:tcPr>
            <w:tcW w:type="dxa" w:w="302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32–64 grid；8/16 frames</w:t>
            </w:r>
          </w:p>
        </w:tc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中；预处理敏感</w:t>
            </w:r>
          </w:p>
        </w:tc>
      </w:tr>
      <w:tr>
        <w:tc>
          <w:tcPr>
            <w:tcW w:type="dxa" w:w="158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R-D Range-Doppler</w:t>
            </w:r>
          </w:p>
        </w:tc>
        <w:tc>
          <w:tcPr>
            <w:tcW w:type="dxa" w:w="244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原始或可重建 RD map</w:t>
            </w:r>
          </w:p>
        </w:tc>
        <w:tc>
          <w:tcPr>
            <w:tcW w:type="dxa" w:w="252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2D/3D CNN</w:t>
            </w:r>
          </w:p>
        </w:tc>
        <w:tc>
          <w:tcPr>
            <w:tcW w:type="dxa" w:w="3024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视实际字段决定</w:t>
            </w:r>
          </w:p>
        </w:tc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仅当数据确实提供时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 xml:space="preserve">规则/风险提示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不要在未检查 CSV 字段前直接照搬 PointNet。若文件是已聚合特征而不是点云，统计序列/TCN 可能才是正确路线。</w:t>
            </w:r>
          </w:p>
        </w:tc>
      </w:tr>
    </w:tbl>
    <w:p>
      <w:pPr>
        <w:spacing w:after="0"/>
      </w:pPr>
    </w:p>
    <w:p>
      <w:pPr>
        <w:pStyle w:val="Heading1"/>
      </w:pPr>
      <w:r>
        <w:t>6. 单模态候选的优先级矩阵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模态</w:t>
            </w:r>
          </w:p>
        </w:tc>
        <w:tc>
          <w:tcPr>
            <w:tcW w:type="dxa" w:w="32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 A</w:t>
            </w:r>
          </w:p>
        </w:tc>
        <w:tc>
          <w:tcPr>
            <w:tcW w:type="dxa" w:w="324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建议完成 B</w:t>
            </w:r>
          </w:p>
        </w:tc>
        <w:tc>
          <w:tcPr>
            <w:tcW w:type="dxa" w:w="2880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有余力完成 C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Depth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MobileNetV3-S + mean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EffNet-B0 + mean / TCN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Tiny Transformer 或轻量 3D CNN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IR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MobileNetV3-S + mean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EffNet-B0 + mean+max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TCN/GRU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Thermal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MobileNetV3-S + mean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EffNet-B0 + TCN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Tiny Transformer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IMU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InceptionTime 或 TCN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双分支 upper/lower TCN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BiGRU / Tiny Transformer</w:t>
            </w:r>
          </w:p>
        </w:tc>
      </w:tr>
      <w:tr>
        <w:tc>
          <w:tcPr>
            <w:tcW w:type="dxa" w:w="14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Radar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统计序列 + TCN</w:t>
            </w:r>
          </w:p>
        </w:tc>
        <w:tc>
          <w:tcPr>
            <w:tcW w:type="dxa" w:w="324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PointNet + TCN</w:t>
            </w:r>
          </w:p>
        </w:tc>
        <w:tc>
          <w:tcPr>
            <w:tcW w:type="dxa" w:w="2880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BEV/RD CNN</w:t>
            </w:r>
          </w:p>
        </w:tc>
      </w:tr>
      <w:tr>
        <w:tc>
          <w:tcPr>
            <w:tcW w:type="dxa" w:w="14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Skeleton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root+velocity TCN</w:t>
            </w:r>
          </w:p>
        </w:tc>
        <w:tc>
          <w:tcPr>
            <w:tcW w:type="dxa" w:w="324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2D CNN joint-time map</w:t>
            </w:r>
          </w:p>
        </w:tc>
        <w:tc>
          <w:tcPr>
            <w:tcW w:type="dxa" w:w="2880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Tiny Transformer / ST-GCN（待确认）</w:t>
            </w:r>
          </w:p>
        </w:tc>
      </w:tr>
    </w:tbl>
    <w:p>
      <w:pPr>
        <w:spacing w:after="0"/>
      </w:pPr>
    </w:p>
    <w:p>
      <w:pPr>
        <w:pStyle w:val="Heading1"/>
      </w:pPr>
      <w:r>
        <w:t>7. 单模态训练清单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所有候选在同一 V1 划分和统一训练协议下快速筛选。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每个模态至少保留一个 CNN/TCN 型稳定方案；RNN/Transformer 作为对照而非默认。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记录参数量、FP32 checkpoint 大小、单样本推理时间。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输出 OOF logits、embedding、混淆矩阵和 per-class recall。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对最强两个模型运行 3 折 Group CV，不用公榜代替交叉验证。</w:t>
      </w:r>
    </w:p>
    <w:p>
      <w:pPr>
        <w:ind w:left="288" w:hanging="230"/>
      </w:pPr>
      <w:r>
        <w:rPr>
          <w:rFonts w:ascii="Noto Sans CJK SC" w:hAnsi="Noto Sans CJK SC" w:eastAsia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 w:eastAsia="Noto Sans CJK SC"/>
          <w:sz w:val="21"/>
        </w:rPr>
        <w:t>确认模型在单模态缺失/空序列时不会产生 NaN。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 xml:space="preserve">本阶段通过门槛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六种模态各至少有一个模型通过 3 折中的至少 1 折完整训练并产生 OOF；选出每模态 1–2 个候选；能够说明该模态的主要错误类别、折间波动和成本。</w:t>
            </w:r>
          </w:p>
        </w:tc>
      </w:tr>
    </w:tbl>
    <w:p>
      <w:pPr>
        <w:spacing w:after="0"/>
      </w:pPr>
    </w:p>
    <w:p>
      <w:pPr>
        <w:pStyle w:val="Heading1"/>
      </w:pPr>
      <w:r>
        <w:t>参考与规则来源</w:t>
      </w:r>
    </w:p>
    <w:p>
      <w:r>
        <w:t>以下来源用于核对比赛约束、数据结构与赛程；模型选择和参数范围属于本项目的实验建议，需要通过本地交叉验证决定。</w:t>
      </w:r>
    </w:p>
    <w:p>
      <w:pPr>
        <w:ind w:left="288"/>
      </w:pPr>
      <w:r>
        <w:t xml:space="preserve">• </w:t>
      </w:r>
      <w:hyperlink r:id="rId11">
        <w:r>
          <w:rPr>
            <w:rFonts w:ascii="Noto Sans CJK SC" w:hAnsi="Noto Sans CJK SC" w:eastAsia="Noto Sans CJK SC"/>
            <w:color w:val="1F4E78"/>
            <w:u w:val="single"/>
          </w:rPr>
          <w:t>CUHK-X Challenge official site</w:t>
        </w:r>
      </w:hyperlink>
    </w:p>
    <w:p>
      <w:pPr>
        <w:ind w:left="288"/>
      </w:pPr>
      <w:r>
        <w:t xml:space="preserve">• </w:t>
      </w:r>
      <w:hyperlink r:id="rId12">
        <w:r>
          <w:rPr>
            <w:rFonts w:ascii="Noto Sans CJK SC" w:hAnsi="Noto Sans CJK SC" w:eastAsia="Noto Sans CJK SC"/>
            <w:color w:val="1F4E78"/>
            <w:u w:val="single"/>
          </w:rPr>
          <w:t>CUHK-X project homepage</w:t>
        </w:r>
      </w:hyperlink>
    </w:p>
    <w:p>
      <w:pPr>
        <w:ind w:left="288"/>
      </w:pPr>
      <w:r>
        <w:t xml:space="preserve">• </w:t>
      </w:r>
      <w:hyperlink r:id="rId13">
        <w:r>
          <w:rPr>
            <w:rFonts w:ascii="Noto Sans CJK SC" w:hAnsi="Noto Sans CJK SC" w:eastAsia="Noto Sans CJK SC"/>
            <w:color w:val="1F4E78"/>
            <w:u w:val="single"/>
          </w:rPr>
          <w:t>CUHK-X official GitHub repository</w:t>
        </w:r>
      </w:hyperlink>
    </w:p>
    <w:p>
      <w:pPr>
        <w:ind w:left="288"/>
      </w:pPr>
      <w:r>
        <w:t xml:space="preserve">• </w:t>
      </w:r>
      <w:hyperlink r:id="rId14">
        <w:r>
          <w:rPr>
            <w:rFonts w:ascii="Noto Sans CJK SC" w:hAnsi="Noto Sans CJK SC" w:eastAsia="Noto Sans CJK SC"/>
            <w:color w:val="1F4E78"/>
            <w:u w:val="single"/>
          </w:rPr>
          <w:t>CUHK-X Small Model Track dataset card</w:t>
        </w:r>
      </w:hyperlink>
    </w:p>
    <w:p>
      <w:pPr>
        <w:ind w:left="288"/>
      </w:pPr>
      <w:r>
        <w:t xml:space="preserve">• </w:t>
      </w:r>
      <w:hyperlink r:id="rId15">
        <w:r>
          <w:rPr>
            <w:rFonts w:ascii="Noto Sans CJK SC" w:hAnsi="Noto Sans CJK SC" w:eastAsia="Noto Sans CJK SC"/>
            <w:color w:val="1F4E78"/>
            <w:u w:val="single"/>
          </w:rPr>
          <w:t>Kaggle Small Model Track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otlab.github.io/CUHK-X-Challenge/" TargetMode="External"/><Relationship Id="rId12" Type="http://schemas.openxmlformats.org/officeDocument/2006/relationships/hyperlink" Target="https://openaiotlab.github.io/CUHK-X/" TargetMode="External"/><Relationship Id="rId13" Type="http://schemas.openxmlformats.org/officeDocument/2006/relationships/hyperlink" Target="https://github.com/openaiotlab/CUHK-X" TargetMode="External"/><Relationship Id="rId14" Type="http://schemas.openxmlformats.org/officeDocument/2006/relationships/hyperlink" Target="https://huggingface.co/datasets/Kevin-Pal/CUHK-X_Small_Model_Track/blob/main/README.md" TargetMode="External"/><Relationship Id="rId15" Type="http://schemas.openxmlformats.org/officeDocument/2006/relationships/hyperlink" Target="https://www.kaggle.com/competitions/cuhk-x-competition-small-model-track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