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8"/>
          <w:sz w:val="46"/>
        </w:rPr>
        <w:t>阶段 4：晚期融合与 OOF 权重学习</w:t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23"/>
        </w:rPr>
        <w:t>目标：用最低工程风险验证多模态互补性，并形成强而稳的融合基线</w:t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18"/>
        </w:rPr>
        <w:t>版本 v0.1  |  2026-07-14  |  DOC-04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EF5FB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21"/>
              </w:rPr>
              <w:t xml:space="preserve">阶段目标  </w:t>
            </w:r>
            <w:r>
              <w:rPr>
                <w:rFonts w:ascii="Noto Sans CJK SC" w:hAnsi="Noto Sans CJK SC" w:eastAsia="Noto Sans CJK SC"/>
                <w:color w:val="222222"/>
                <w:sz w:val="21"/>
              </w:rPr>
              <w:t>在不联合训练六个编码器的情况下，基于严格 OOF logits 完成概率平均、加权、校准和轻量堆叠；证明多模态组合是否真实优于最强单模态。</w:t>
            </w:r>
          </w:p>
        </w:tc>
      </w:tr>
    </w:tbl>
    <w:p>
      <w:pPr>
        <w:spacing w:after="0"/>
      </w:pPr>
    </w:p>
    <w:p>
      <w:pPr>
        <w:pStyle w:val="Heading1"/>
      </w:pPr>
      <w:r>
        <w:t>1. 输入要求</w:t>
      </w:r>
    </w:p>
    <w:p>
      <w:pPr>
        <w:ind w:left="288" w:hanging="230"/>
      </w:pPr>
      <w:r>
        <w:rPr>
          <w:rFonts w:ascii="Noto Sans CJK SC" w:hAnsi="Noto Sans CJK SC" w:eastAsia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 w:eastAsia="Noto Sans CJK SC"/>
          <w:sz w:val="21"/>
        </w:rPr>
        <w:t>每个单模态模型对相同 OOF sample_id 输出 40 维 logits。</w:t>
      </w:r>
    </w:p>
    <w:p>
      <w:pPr>
        <w:ind w:left="288" w:hanging="230"/>
      </w:pPr>
      <w:r>
        <w:rPr>
          <w:rFonts w:ascii="Noto Sans CJK SC" w:hAnsi="Noto Sans CJK SC" w:eastAsia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 w:eastAsia="Noto Sans CJK SC"/>
          <w:sz w:val="21"/>
        </w:rPr>
        <w:t>所有 OOF 预测必须来自“该样本未参与训练”的模型。</w:t>
      </w:r>
    </w:p>
    <w:p>
      <w:pPr>
        <w:ind w:left="288" w:hanging="230"/>
      </w:pPr>
      <w:r>
        <w:rPr>
          <w:rFonts w:ascii="Noto Sans CJK SC" w:hAnsi="Noto Sans CJK SC" w:eastAsia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 w:eastAsia="Noto Sans CJK SC"/>
          <w:sz w:val="21"/>
        </w:rPr>
        <w:t>缺失模态有明确 mask；不允许把全零 logits 当作正常预测直接平均。</w:t>
      </w:r>
    </w:p>
    <w:p>
      <w:pPr>
        <w:ind w:left="288" w:hanging="230"/>
      </w:pPr>
      <w:r>
        <w:rPr>
          <w:rFonts w:ascii="Noto Sans CJK SC" w:hAnsi="Noto Sans CJK SC" w:eastAsia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 w:eastAsia="Noto Sans CJK SC"/>
          <w:sz w:val="21"/>
        </w:rPr>
        <w:t>模型类别顺序与 class_mapping.csv 完全一致。</w:t>
      </w:r>
    </w:p>
    <w:p>
      <w:pPr>
        <w:pStyle w:val="Heading1"/>
      </w:pPr>
      <w:r>
        <w:t>2. 融合方法优先级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584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方法</w:t>
            </w:r>
          </w:p>
        </w:tc>
        <w:tc>
          <w:tcPr>
            <w:tcW w:type="dxa" w:w="3240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公式/实现</w:t>
            </w:r>
          </w:p>
        </w:tc>
        <w:tc>
          <w:tcPr>
            <w:tcW w:type="dxa" w:w="2520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需要搜索</w:t>
            </w:r>
          </w:p>
        </w:tc>
        <w:tc>
          <w:tcPr>
            <w:tcW w:type="dxa" w:w="2736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成功率与风险</w:t>
            </w:r>
          </w:p>
        </w:tc>
      </w:tr>
      <w:tr>
        <w:tc>
          <w:tcPr>
            <w:tcW w:type="dxa" w:w="158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F0 Uniform</w:t>
            </w:r>
          </w:p>
        </w:tc>
        <w:tc>
          <w:tcPr>
            <w:tcW w:type="dxa" w:w="324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可用模态 softmax 概率等权平均</w:t>
            </w:r>
          </w:p>
        </w:tc>
        <w:tc>
          <w:tcPr>
            <w:tcW w:type="dxa" w:w="252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无</w:t>
            </w:r>
          </w:p>
        </w:tc>
        <w:tc>
          <w:tcPr>
            <w:tcW w:type="dxa" w:w="2736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最高成功率基线；用于判断互补性</w:t>
            </w:r>
          </w:p>
        </w:tc>
      </w:tr>
      <w:tr>
        <w:tc>
          <w:tcPr>
            <w:tcW w:type="dxa" w:w="1584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F1 Scalar weights</w:t>
            </w:r>
          </w:p>
        </w:tc>
        <w:tc>
          <w:tcPr>
            <w:tcW w:type="dxa" w:w="324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Σ w_m p_m，w≥0，Σw=1</w:t>
            </w:r>
          </w:p>
        </w:tc>
        <w:tc>
          <w:tcPr>
            <w:tcW w:type="dxa" w:w="252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6 个权重；网格/坐标下降/Optuna</w:t>
            </w:r>
          </w:p>
        </w:tc>
        <w:tc>
          <w:tcPr>
            <w:tcW w:type="dxa" w:w="2736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高；通常能压低弱模态影响</w:t>
            </w:r>
          </w:p>
        </w:tc>
      </w:tr>
      <w:tr>
        <w:tc>
          <w:tcPr>
            <w:tcW w:type="dxa" w:w="158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F2 Logit average</w:t>
            </w:r>
          </w:p>
        </w:tc>
        <w:tc>
          <w:tcPr>
            <w:tcW w:type="dxa" w:w="324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Σ w_m logits_m 后 softmax</w:t>
            </w:r>
          </w:p>
        </w:tc>
        <w:tc>
          <w:tcPr>
            <w:tcW w:type="dxa" w:w="252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权重 + 温度</w:t>
            </w:r>
          </w:p>
        </w:tc>
        <w:tc>
          <w:tcPr>
            <w:tcW w:type="dxa" w:w="2736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高；常比概率平均更锐利</w:t>
            </w:r>
          </w:p>
        </w:tc>
      </w:tr>
      <w:tr>
        <w:tc>
          <w:tcPr>
            <w:tcW w:type="dxa" w:w="1584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F3 Temperature calibration</w:t>
            </w:r>
          </w:p>
        </w:tc>
        <w:tc>
          <w:tcPr>
            <w:tcW w:type="dxa" w:w="324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每模态 logits/T_m</w:t>
            </w:r>
          </w:p>
        </w:tc>
        <w:tc>
          <w:tcPr>
            <w:tcW w:type="dxa" w:w="252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每模态 T</w:t>
            </w:r>
          </w:p>
        </w:tc>
        <w:tc>
          <w:tcPr>
            <w:tcW w:type="dxa" w:w="2736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高；改善过度自信后再融合</w:t>
            </w:r>
          </w:p>
        </w:tc>
      </w:tr>
      <w:tr>
        <w:tc>
          <w:tcPr>
            <w:tcW w:type="dxa" w:w="158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F4 Class-wise weights</w:t>
            </w:r>
          </w:p>
        </w:tc>
        <w:tc>
          <w:tcPr>
            <w:tcW w:type="dxa" w:w="324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每类不同模态权重</w:t>
            </w:r>
          </w:p>
        </w:tc>
        <w:tc>
          <w:tcPr>
            <w:tcW w:type="dxa" w:w="252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6×40 参数 + 正则</w:t>
            </w:r>
          </w:p>
        </w:tc>
        <w:tc>
          <w:tcPr>
            <w:tcW w:type="dxa" w:w="2736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中；适合不同模态擅长不同类别，易过拟合</w:t>
            </w:r>
          </w:p>
        </w:tc>
      </w:tr>
      <w:tr>
        <w:tc>
          <w:tcPr>
            <w:tcW w:type="dxa" w:w="1584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F5 Linear stacker</w:t>
            </w:r>
          </w:p>
        </w:tc>
        <w:tc>
          <w:tcPr>
            <w:tcW w:type="dxa" w:w="324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OOF logits → multinomial logistic regression</w:t>
            </w:r>
          </w:p>
        </w:tc>
        <w:tc>
          <w:tcPr>
            <w:tcW w:type="dxa" w:w="252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L2 C 值</w:t>
            </w:r>
          </w:p>
        </w:tc>
        <w:tc>
          <w:tcPr>
            <w:tcW w:type="dxa" w:w="2736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高；轻量且可解释</w:t>
            </w:r>
          </w:p>
        </w:tc>
      </w:tr>
      <w:tr>
        <w:tc>
          <w:tcPr>
            <w:tcW w:type="dxa" w:w="158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F6 Small MLP stacker</w:t>
            </w:r>
          </w:p>
        </w:tc>
        <w:tc>
          <w:tcPr>
            <w:tcW w:type="dxa" w:w="324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拼接 logits/mask → 1–2 层 MLP</w:t>
            </w:r>
          </w:p>
        </w:tc>
        <w:tc>
          <w:tcPr>
            <w:tcW w:type="dxa" w:w="252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hidden 64/128、dropout</w:t>
            </w:r>
          </w:p>
        </w:tc>
        <w:tc>
          <w:tcPr>
            <w:tcW w:type="dxa" w:w="2736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中；数据量不足时易过拟合</w:t>
            </w:r>
          </w:p>
        </w:tc>
      </w:tr>
    </w:tbl>
    <w:p>
      <w:pPr>
        <w:spacing w:after="0"/>
      </w:pPr>
    </w:p>
    <w:p>
      <w:pPr>
        <w:pStyle w:val="Heading1"/>
      </w:pPr>
      <w:r>
        <w:t>3. 推荐实验顺序</w:t>
      </w:r>
    </w:p>
    <w:p>
      <w:pPr>
        <w:ind w:left="288" w:hanging="288"/>
      </w:pPr>
      <w:r>
        <w:rPr>
          <w:rFonts w:ascii="Noto Sans CJK SC" w:hAnsi="Noto Sans CJK SC" w:eastAsia="Noto Sans CJK SC"/>
          <w:b/>
          <w:color w:val="1F4E78"/>
        </w:rPr>
        <w:t xml:space="preserve">1. </w:t>
      </w:r>
      <w:r>
        <w:rPr>
          <w:rFonts w:ascii="Noto Sans CJK SC" w:hAnsi="Noto Sans CJK SC" w:eastAsia="Noto Sans CJK SC"/>
        </w:rPr>
        <w:t>先比较所有单模态、三视觉组合、传感器组合、全部六模态的等权平均。</w:t>
      </w:r>
    </w:p>
    <w:p>
      <w:pPr>
        <w:ind w:left="288" w:hanging="288"/>
      </w:pPr>
      <w:r>
        <w:rPr>
          <w:rFonts w:ascii="Noto Sans CJK SC" w:hAnsi="Noto Sans CJK SC" w:eastAsia="Noto Sans CJK SC"/>
          <w:b/>
          <w:color w:val="1F4E78"/>
        </w:rPr>
        <w:t xml:space="preserve">2. </w:t>
      </w:r>
      <w:r>
        <w:rPr>
          <w:rFonts w:ascii="Noto Sans CJK SC" w:hAnsi="Noto Sans CJK SC" w:eastAsia="Noto Sans CJK SC"/>
        </w:rPr>
        <w:t>用 OOF 搜索非负标量权重；设置弱模态可自然趋近 0，而不是强制全部参与。</w:t>
      </w:r>
    </w:p>
    <w:p>
      <w:pPr>
        <w:ind w:left="288" w:hanging="288"/>
      </w:pPr>
      <w:r>
        <w:rPr>
          <w:rFonts w:ascii="Noto Sans CJK SC" w:hAnsi="Noto Sans CJK SC" w:eastAsia="Noto Sans CJK SC"/>
          <w:b/>
          <w:color w:val="1F4E78"/>
        </w:rPr>
        <w:t xml:space="preserve">3. </w:t>
      </w:r>
      <w:r>
        <w:rPr>
          <w:rFonts w:ascii="Noto Sans CJK SC" w:hAnsi="Noto Sans CJK SC" w:eastAsia="Noto Sans CJK SC"/>
        </w:rPr>
        <w:t>对每路 logits 做温度校准，再重新搜索权重。</w:t>
      </w:r>
    </w:p>
    <w:p>
      <w:pPr>
        <w:ind w:left="288" w:hanging="288"/>
      </w:pPr>
      <w:r>
        <w:rPr>
          <w:rFonts w:ascii="Noto Sans CJK SC" w:hAnsi="Noto Sans CJK SC" w:eastAsia="Noto Sans CJK SC"/>
          <w:b/>
          <w:color w:val="1F4E78"/>
        </w:rPr>
        <w:t xml:space="preserve">4. </w:t>
      </w:r>
      <w:r>
        <w:rPr>
          <w:rFonts w:ascii="Noto Sans CJK SC" w:hAnsi="Noto Sans CJK SC" w:eastAsia="Noto Sans CJK SC"/>
        </w:rPr>
        <w:t>训练 L2 正则的 multinomial logistic regression stacker，并用嵌套或 fold-safe 方式评估。</w:t>
      </w:r>
    </w:p>
    <w:p>
      <w:pPr>
        <w:ind w:left="288" w:hanging="288"/>
      </w:pPr>
      <w:r>
        <w:rPr>
          <w:rFonts w:ascii="Noto Sans CJK SC" w:hAnsi="Noto Sans CJK SC" w:eastAsia="Noto Sans CJK SC"/>
          <w:b/>
          <w:color w:val="1F4E78"/>
        </w:rPr>
        <w:t xml:space="preserve">5. </w:t>
      </w:r>
      <w:r>
        <w:rPr>
          <w:rFonts w:ascii="Noto Sans CJK SC" w:hAnsi="Noto Sans CJK SC" w:eastAsia="Noto Sans CJK SC"/>
        </w:rPr>
        <w:t>只有 class-wise 权重在多折均稳定提升时才保留。</w:t>
      </w:r>
    </w:p>
    <w:p>
      <w:pPr>
        <w:pStyle w:val="Heading1"/>
      </w:pPr>
      <w:r>
        <w:t>4. 必测模态组合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024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组合</w:t>
            </w:r>
          </w:p>
        </w:tc>
        <w:tc>
          <w:tcPr>
            <w:tcW w:type="dxa" w:w="5040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目的</w:t>
            </w:r>
          </w:p>
        </w:tc>
        <w:tc>
          <w:tcPr>
            <w:tcW w:type="dxa" w:w="1728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预期</w:t>
            </w:r>
          </w:p>
        </w:tc>
      </w:tr>
      <w:tr>
        <w:tc>
          <w:tcPr>
            <w:tcW w:type="dxa" w:w="302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Depth + IR + Thermal</w:t>
            </w:r>
          </w:p>
        </w:tc>
        <w:tc>
          <w:tcPr>
            <w:tcW w:type="dxa" w:w="504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验证三路视觉是否互补；最容易产生强融合</w:t>
            </w:r>
          </w:p>
        </w:tc>
        <w:tc>
          <w:tcPr>
            <w:tcW w:type="dxa" w:w="172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高优先级</w:t>
            </w:r>
          </w:p>
        </w:tc>
      </w:tr>
      <w:tr>
        <w:tc>
          <w:tcPr>
            <w:tcW w:type="dxa" w:w="3024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IMU + Skeleton</w:t>
            </w:r>
          </w:p>
        </w:tc>
        <w:tc>
          <w:tcPr>
            <w:tcW w:type="dxa" w:w="504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身体运动与姿态互补</w:t>
            </w:r>
          </w:p>
        </w:tc>
        <w:tc>
          <w:tcPr>
            <w:tcW w:type="dxa" w:w="172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高优先级</w:t>
            </w:r>
          </w:p>
        </w:tc>
      </w:tr>
      <w:tr>
        <w:tc>
          <w:tcPr>
            <w:tcW w:type="dxa" w:w="302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Radar + Skeleton</w:t>
            </w:r>
          </w:p>
        </w:tc>
        <w:tc>
          <w:tcPr>
            <w:tcW w:type="dxa" w:w="504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隐私传感与结构姿态互补</w:t>
            </w:r>
          </w:p>
        </w:tc>
        <w:tc>
          <w:tcPr>
            <w:tcW w:type="dxa" w:w="172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中优先级</w:t>
            </w:r>
          </w:p>
        </w:tc>
      </w:tr>
      <w:tr>
        <w:tc>
          <w:tcPr>
            <w:tcW w:type="dxa" w:w="3024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最强视觉 + Skeleton</w:t>
            </w:r>
          </w:p>
        </w:tc>
        <w:tc>
          <w:tcPr>
            <w:tcW w:type="dxa" w:w="504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外观轮廓 + 关节运动</w:t>
            </w:r>
          </w:p>
        </w:tc>
        <w:tc>
          <w:tcPr>
            <w:tcW w:type="dxa" w:w="172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高优先级</w:t>
            </w:r>
          </w:p>
        </w:tc>
      </w:tr>
      <w:tr>
        <w:tc>
          <w:tcPr>
            <w:tcW w:type="dxa" w:w="302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最强视觉 + IMU + Skeleton</w:t>
            </w:r>
          </w:p>
        </w:tc>
        <w:tc>
          <w:tcPr>
            <w:tcW w:type="dxa" w:w="504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控制模型数的强组合</w:t>
            </w:r>
          </w:p>
        </w:tc>
        <w:tc>
          <w:tcPr>
            <w:tcW w:type="dxa" w:w="172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极高优先级</w:t>
            </w:r>
          </w:p>
        </w:tc>
      </w:tr>
      <w:tr>
        <w:tc>
          <w:tcPr>
            <w:tcW w:type="dxa" w:w="3024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六模态全部</w:t>
            </w:r>
          </w:p>
        </w:tc>
        <w:tc>
          <w:tcPr>
            <w:tcW w:type="dxa" w:w="504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上限测试</w:t>
            </w:r>
          </w:p>
        </w:tc>
        <w:tc>
          <w:tcPr>
            <w:tcW w:type="dxa" w:w="172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不保证优于筛选后的子集</w:t>
            </w:r>
          </w:p>
        </w:tc>
      </w:tr>
    </w:tbl>
    <w:p>
      <w:pPr>
        <w:spacing w:after="0"/>
      </w:pPr>
    </w:p>
    <w:p>
      <w:pPr>
        <w:pStyle w:val="Heading1"/>
      </w:pPr>
      <w:r>
        <w:t>5. 权重搜索范围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016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464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首选设置</w:t>
            </w:r>
          </w:p>
        </w:tc>
        <w:tc>
          <w:tcPr>
            <w:tcW w:type="dxa" w:w="3312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扩展</w:t>
            </w:r>
          </w:p>
        </w:tc>
      </w:tr>
      <w:tr>
        <w:tc>
          <w:tcPr>
            <w:tcW w:type="dxa" w:w="2016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目标函数</w:t>
            </w:r>
          </w:p>
        </w:tc>
        <w:tc>
          <w:tcPr>
            <w:tcW w:type="dxa" w:w="446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3 折 OOF accuracy；以 macro-F1 作为并列判断</w:t>
            </w:r>
          </w:p>
        </w:tc>
        <w:tc>
          <w:tcPr>
            <w:tcW w:type="dxa" w:w="331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accuracy - λ×fold_std</w:t>
            </w:r>
          </w:p>
        </w:tc>
      </w:tr>
      <w:tr>
        <w:tc>
          <w:tcPr>
            <w:tcW w:type="dxa" w:w="2016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标量权重</w:t>
            </w:r>
          </w:p>
        </w:tc>
        <w:tc>
          <w:tcPr>
            <w:tcW w:type="dxa" w:w="4464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步长 0.05 的粗网格 + 局部优化</w:t>
            </w:r>
          </w:p>
        </w:tc>
        <w:tc>
          <w:tcPr>
            <w:tcW w:type="dxa" w:w="3312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Optuna 100–300 trials</w:t>
            </w:r>
          </w:p>
        </w:tc>
      </w:tr>
      <w:tr>
        <w:tc>
          <w:tcPr>
            <w:tcW w:type="dxa" w:w="2016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温度 T</w:t>
            </w:r>
          </w:p>
        </w:tc>
        <w:tc>
          <w:tcPr>
            <w:tcW w:type="dxa" w:w="446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0.5–3.0</w:t>
            </w:r>
          </w:p>
        </w:tc>
        <w:tc>
          <w:tcPr>
            <w:tcW w:type="dxa" w:w="331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每模态独立或共享</w:t>
            </w:r>
          </w:p>
        </w:tc>
      </w:tr>
      <w:tr>
        <w:tc>
          <w:tcPr>
            <w:tcW w:type="dxa" w:w="2016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Stacker 正则</w:t>
            </w:r>
          </w:p>
        </w:tc>
        <w:tc>
          <w:tcPr>
            <w:tcW w:type="dxa" w:w="4464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LogisticRegression C=0.01/0.1/1/10</w:t>
            </w:r>
          </w:p>
        </w:tc>
        <w:tc>
          <w:tcPr>
            <w:tcW w:type="dxa" w:w="3312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ElasticNet/线性 SVM 概率校准</w:t>
            </w:r>
          </w:p>
        </w:tc>
      </w:tr>
      <w:tr>
        <w:tc>
          <w:tcPr>
            <w:tcW w:type="dxa" w:w="2016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MLP</w:t>
            </w:r>
          </w:p>
        </w:tc>
        <w:tc>
          <w:tcPr>
            <w:tcW w:type="dxa" w:w="446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hidden 64；dropout 0.3；weight decay 1e-3</w:t>
            </w:r>
          </w:p>
        </w:tc>
        <w:tc>
          <w:tcPr>
            <w:tcW w:type="dxa" w:w="331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hidden 128；一层 LayerNorm</w:t>
            </w:r>
          </w:p>
        </w:tc>
      </w:tr>
    </w:tbl>
    <w:p>
      <w:pPr>
        <w:spacing w:after="0"/>
      </w:pPr>
    </w:p>
    <w:p>
      <w:pPr>
        <w:pStyle w:val="Heading1"/>
      </w:pPr>
      <w:r>
        <w:t>6. 防止融合泄漏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CE4D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C65911"/>
                <w:sz w:val="21"/>
              </w:rPr>
              <w:t xml:space="preserve">规则/风险提示  </w:t>
            </w:r>
            <w:r>
              <w:rPr>
                <w:rFonts w:ascii="Noto Sans CJK SC" w:hAnsi="Noto Sans CJK SC" w:eastAsia="Noto Sans CJK SC"/>
                <w:color w:val="222222"/>
                <w:sz w:val="21"/>
              </w:rPr>
              <w:t>不能用训练集内预测训练 stacker；不能用 Kaggle 测试预测反复手调权重。正确做法是用 OOF 学权重，再把同一规则应用到测试预测。若 stacker 也要做严格评估，使用外层 fold 评估、内层 OOF 训练 stacker。</w:t>
            </w:r>
          </w:p>
        </w:tc>
      </w:tr>
    </w:tbl>
    <w:p>
      <w:pPr>
        <w:spacing w:after="0"/>
      </w:pPr>
    </w:p>
    <w:p>
      <w:pPr>
        <w:pStyle w:val="Heading1"/>
      </w:pPr>
      <w:r>
        <w:t>7. 完成清单</w:t>
      </w:r>
    </w:p>
    <w:p>
      <w:pPr>
        <w:ind w:left="288" w:hanging="230"/>
      </w:pPr>
      <w:r>
        <w:rPr>
          <w:rFonts w:ascii="Noto Sans CJK SC" w:hAnsi="Noto Sans CJK SC" w:eastAsia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 w:eastAsia="Noto Sans CJK SC"/>
          <w:sz w:val="21"/>
        </w:rPr>
        <w:t>所有模态 OOF 的 sample_id、标签和类别顺序一致。</w:t>
      </w:r>
    </w:p>
    <w:p>
      <w:pPr>
        <w:ind w:left="288" w:hanging="230"/>
      </w:pPr>
      <w:r>
        <w:rPr>
          <w:rFonts w:ascii="Noto Sans CJK SC" w:hAnsi="Noto Sans CJK SC" w:eastAsia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 w:eastAsia="Noto Sans CJK SC"/>
          <w:sz w:val="21"/>
        </w:rPr>
        <w:t>完成 Uniform、scalar weight、calibration、linear stacker 四种基线。</w:t>
      </w:r>
    </w:p>
    <w:p>
      <w:pPr>
        <w:ind w:left="288" w:hanging="230"/>
      </w:pPr>
      <w:r>
        <w:rPr>
          <w:rFonts w:ascii="Noto Sans CJK SC" w:hAnsi="Noto Sans CJK SC" w:eastAsia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 w:eastAsia="Noto Sans CJK SC"/>
          <w:sz w:val="21"/>
        </w:rPr>
        <w:t>记录各模态被赋予的权重，并检查是否符合其单模态能力。</w:t>
      </w:r>
    </w:p>
    <w:p>
      <w:pPr>
        <w:ind w:left="288" w:hanging="230"/>
      </w:pPr>
      <w:r>
        <w:rPr>
          <w:rFonts w:ascii="Noto Sans CJK SC" w:hAnsi="Noto Sans CJK SC" w:eastAsia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 w:eastAsia="Noto Sans CJK SC"/>
          <w:sz w:val="21"/>
        </w:rPr>
        <w:t>报告不同模态组合的增益，而不是只报告六模态全融合。</w:t>
      </w:r>
    </w:p>
    <w:p>
      <w:pPr>
        <w:ind w:left="288" w:hanging="230"/>
      </w:pPr>
      <w:r>
        <w:rPr>
          <w:rFonts w:ascii="Noto Sans CJK SC" w:hAnsi="Noto Sans CJK SC" w:eastAsia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 w:eastAsia="Noto Sans CJK SC"/>
          <w:sz w:val="21"/>
        </w:rPr>
        <w:t>对缺失模态样本重新归一化可用权重。</w:t>
      </w:r>
    </w:p>
    <w:p>
      <w:pPr>
        <w:ind w:left="288" w:hanging="230"/>
      </w:pPr>
      <w:r>
        <w:rPr>
          <w:rFonts w:ascii="Noto Sans CJK SC" w:hAnsi="Noto Sans CJK SC" w:eastAsia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 w:eastAsia="Noto Sans CJK SC"/>
          <w:sz w:val="21"/>
        </w:rPr>
        <w:t>保留融合配置文件和可独立运行的 predict_fusion.py。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8F5E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E7D32"/>
                <w:sz w:val="21"/>
              </w:rPr>
              <w:t xml:space="preserve">本阶段通过门槛  </w:t>
            </w:r>
            <w:r>
              <w:rPr>
                <w:rFonts w:ascii="Noto Sans CJK SC" w:hAnsi="Noto Sans CJK SC" w:eastAsia="Noto Sans CJK SC"/>
                <w:color w:val="222222"/>
                <w:sz w:val="21"/>
              </w:rPr>
              <w:t>至少一个融合方案在 3 折均值上稳定超过最强单模态，且不依赖单一 fold；若全部融合无增益，应先检查 OOF 对齐、校准和弱模态噪声，而不是直接上复杂 Transformer。</w:t>
            </w:r>
          </w:p>
        </w:tc>
      </w:tr>
    </w:tbl>
    <w:p>
      <w:pPr>
        <w:spacing w:after="0"/>
      </w:pPr>
    </w:p>
    <w:p>
      <w:pPr>
        <w:pStyle w:val="Heading1"/>
      </w:pPr>
      <w:r>
        <w:t>参考与规则来源</w:t>
      </w:r>
    </w:p>
    <w:p>
      <w:r>
        <w:t>以下来源用于核对比赛约束、数据结构与赛程；模型选择和参数范围属于本项目的实验建议，需要通过本地交叉验证决定。</w:t>
      </w:r>
    </w:p>
    <w:p>
      <w:pPr>
        <w:ind w:left="288"/>
      </w:pPr>
      <w:r>
        <w:t xml:space="preserve">• </w:t>
      </w:r>
      <w:hyperlink r:id="rId11">
        <w:r>
          <w:rPr>
            <w:rFonts w:ascii="Noto Sans CJK SC" w:hAnsi="Noto Sans CJK SC" w:eastAsia="Noto Sans CJK SC"/>
            <w:color w:val="1F4E78"/>
            <w:u w:val="single"/>
          </w:rPr>
          <w:t>CUHK-X Challenge official site</w:t>
        </w:r>
      </w:hyperlink>
    </w:p>
    <w:p>
      <w:pPr>
        <w:ind w:left="288"/>
      </w:pPr>
      <w:r>
        <w:t xml:space="preserve">• </w:t>
      </w:r>
      <w:hyperlink r:id="rId12">
        <w:r>
          <w:rPr>
            <w:rFonts w:ascii="Noto Sans CJK SC" w:hAnsi="Noto Sans CJK SC" w:eastAsia="Noto Sans CJK SC"/>
            <w:color w:val="1F4E78"/>
            <w:u w:val="single"/>
          </w:rPr>
          <w:t>CUHK-X project homepage</w:t>
        </w:r>
      </w:hyperlink>
    </w:p>
    <w:p>
      <w:pPr>
        <w:ind w:left="288"/>
      </w:pPr>
      <w:r>
        <w:t xml:space="preserve">• </w:t>
      </w:r>
      <w:hyperlink r:id="rId13">
        <w:r>
          <w:rPr>
            <w:rFonts w:ascii="Noto Sans CJK SC" w:hAnsi="Noto Sans CJK SC" w:eastAsia="Noto Sans CJK SC"/>
            <w:color w:val="1F4E78"/>
            <w:u w:val="single"/>
          </w:rPr>
          <w:t>CUHK-X official GitHub repository</w:t>
        </w:r>
      </w:hyperlink>
    </w:p>
    <w:p>
      <w:pPr>
        <w:ind w:left="288"/>
      </w:pPr>
      <w:r>
        <w:t xml:space="preserve">• </w:t>
      </w:r>
      <w:hyperlink r:id="rId14">
        <w:r>
          <w:rPr>
            <w:rFonts w:ascii="Noto Sans CJK SC" w:hAnsi="Noto Sans CJK SC" w:eastAsia="Noto Sans CJK SC"/>
            <w:color w:val="1F4E78"/>
            <w:u w:val="single"/>
          </w:rPr>
          <w:t>CUHK-X Small Model Track dataset card</w:t>
        </w:r>
      </w:hyperlink>
    </w:p>
    <w:p>
      <w:pPr>
        <w:ind w:left="288"/>
      </w:pPr>
      <w:r>
        <w:t xml:space="preserve">• </w:t>
      </w:r>
      <w:hyperlink r:id="rId15">
        <w:r>
          <w:rPr>
            <w:rFonts w:ascii="Noto Sans CJK SC" w:hAnsi="Noto Sans CJK SC" w:eastAsia="Noto Sans CJK SC"/>
            <w:color w:val="1F4E78"/>
            <w:u w:val="single"/>
          </w:rPr>
          <w:t>Kaggle Small Model Track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79" w:bottom="936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66666"/>
        <w:sz w:val="17"/>
      </w:rPr>
      <w:t>CUHK-X Small Model Track  |  项目规划文档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5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D3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360" w:right="216"/>
    </w:pPr>
    <w:rPr>
      <w:rFonts w:ascii="Noto Sans Mono CJK SC" w:hAnsi="Noto Sans Mono CJK SC" w:eastAsia="Noto Sans Mono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openaiotlab.github.io/CUHK-X-Challenge/" TargetMode="External"/><Relationship Id="rId12" Type="http://schemas.openxmlformats.org/officeDocument/2006/relationships/hyperlink" Target="https://openaiotlab.github.io/CUHK-X/" TargetMode="External"/><Relationship Id="rId13" Type="http://schemas.openxmlformats.org/officeDocument/2006/relationships/hyperlink" Target="https://github.com/openaiotlab/CUHK-X" TargetMode="External"/><Relationship Id="rId14" Type="http://schemas.openxmlformats.org/officeDocument/2006/relationships/hyperlink" Target="https://huggingface.co/datasets/Kevin-Pal/CUHK-X_Small_Model_Track/blob/main/README.md" TargetMode="External"/><Relationship Id="rId15" Type="http://schemas.openxmlformats.org/officeDocument/2006/relationships/hyperlink" Target="https://www.kaggle.com/competitions/cuhk-x-competition-small-model-track/over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