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阶段 5：中期特征融合与联合训练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目标：让模型在特征层学习模态互补，同时控制参数量和过拟合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DOC-05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将六个单模态编码器输出投影到统一维度，通过拼接、门控或模态注意力联合训练；使用辅助分类头和 modality mask 防止强模态垄断。</w:t>
            </w:r>
          </w:p>
        </w:tc>
      </w:tr>
    </w:tbl>
    <w:p>
      <w:pPr>
        <w:spacing w:after="0"/>
      </w:pPr>
    </w:p>
    <w:p>
      <w:pPr>
        <w:pStyle w:val="Heading1"/>
      </w:pPr>
      <w:r>
        <w:t>1. 推荐的基础结构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333333"/>
          <w:sz w:val="18"/>
        </w:rPr>
        <w:t>z_m = Encoder_m(x_m)           # [B, D_m]</w:t>
        <w:br/>
        <w:t>h_m = Projection_m(z_m)        # [B, 128 or 256]</w:t>
        <w:br/>
        <w:t>h_m = h_m + ModalityEmbedding_m</w:t>
        <w:br/>
        <w:t>h_fused = Fusion({h_m}, modality_mask)</w:t>
        <w:br/>
        <w:t>logits = Classifier(h_fused)   # [B, 40]</w:t>
      </w:r>
    </w:p>
    <w:p>
      <w:pPr>
        <w:pStyle w:val="Heading1"/>
      </w:pPr>
      <w:r>
        <w:t>2. 融合模块优先级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51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候选</w:t>
            </w:r>
          </w:p>
        </w:tc>
        <w:tc>
          <w:tcPr>
            <w:tcW w:type="dxa" w:w="295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实现</w:t>
            </w:r>
          </w:p>
        </w:tc>
        <w:tc>
          <w:tcPr>
            <w:tcW w:type="dxa" w:w="259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关键参数</w:t>
            </w:r>
          </w:p>
        </w:tc>
        <w:tc>
          <w:tcPr>
            <w:tcW w:type="dxa" w:w="20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优点</w:t>
            </w:r>
          </w:p>
        </w:tc>
        <w:tc>
          <w:tcPr>
            <w:tcW w:type="dxa" w:w="187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M-A 拼接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concat 6×D → MLP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D=128/256；hidden 256/512；dropout .3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最高成功率、容易诊断</w:t>
            </w:r>
          </w:p>
        </w:tc>
        <w:tc>
          <w:tcPr>
            <w:tcW w:type="dxa" w:w="18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参数随模态增加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M-B 门控加权</w:t>
            </w:r>
          </w:p>
        </w:tc>
        <w:tc>
          <w:tcPr>
            <w:tcW w:type="dxa" w:w="29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每模态 gate∈[0,1]，加权后 concat/sum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2 层 gate MLP；hidden 64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自动压低噪声模态</w:t>
            </w:r>
          </w:p>
        </w:tc>
        <w:tc>
          <w:tcPr>
            <w:tcW w:type="dxa" w:w="187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gate 可能塌缩到单模态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M-C 模态注意力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6 个 modality token → 1–2 层 Transformer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d=128/192；heads 4；ffn 256/384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序列仅 6，计算很小，可学习交互</w:t>
            </w:r>
          </w:p>
        </w:tc>
        <w:tc>
          <w:tcPr>
            <w:tcW w:type="dxa" w:w="18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数据不足时收益不稳定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M-D Pairwise cross</w:t>
            </w:r>
          </w:p>
        </w:tc>
        <w:tc>
          <w:tcPr>
            <w:tcW w:type="dxa" w:w="29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视觉组与传感器组分别融合，再顶层融合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group dim 128/256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层次清晰，适合三视觉共享</w:t>
            </w:r>
          </w:p>
        </w:tc>
        <w:tc>
          <w:tcPr>
            <w:tcW w:type="dxa" w:w="187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设计组合较多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M-E Tensor/bilinear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低秩双线性融合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rank 8/16/32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捕获乘性交互</w:t>
            </w:r>
          </w:p>
        </w:tc>
        <w:tc>
          <w:tcPr>
            <w:tcW w:type="dxa" w:w="18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实现复杂、过拟合风险</w:t>
            </w:r>
          </w:p>
        </w:tc>
      </w:tr>
    </w:tbl>
    <w:p>
      <w:pPr>
        <w:spacing w:after="0"/>
      </w:pPr>
    </w:p>
    <w:p>
      <w:pPr>
        <w:pStyle w:val="Heading1"/>
      </w:pPr>
      <w:r>
        <w:t>3. 高成功率模型配方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36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配方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视觉分支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数值分支</w:t>
            </w:r>
          </w:p>
        </w:tc>
        <w:tc>
          <w:tcPr>
            <w:tcW w:type="dxa" w:w="201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融合</w:t>
            </w:r>
          </w:p>
        </w:tc>
        <w:tc>
          <w:tcPr>
            <w:tcW w:type="dxa" w:w="20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推荐理由</w:t>
            </w:r>
          </w:p>
        </w:tc>
      </w:tr>
      <w:tr>
        <w:tc>
          <w:tcPr>
            <w:tcW w:type="dxa" w:w="13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Recipe 1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三路各 MobileNetV3-S；先独立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IMU TCN、Radar stats-TCN、Skeleton TCN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128 维拼接 + MLP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最直接的联合 baseline，便于从单模态权重初始化</w:t>
            </w:r>
          </w:p>
        </w:tc>
      </w:tr>
      <w:tr>
        <w:tc>
          <w:tcPr>
            <w:tcW w:type="dxa" w:w="13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Recipe 2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三路输入 adapter + 共享 MobileNetV3-S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同上</w:t>
            </w:r>
          </w:p>
        </w:tc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256 维门控拼接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显著减小模型，符合小模型赛道</w:t>
            </w:r>
          </w:p>
        </w:tc>
      </w:tr>
      <w:tr>
        <w:tc>
          <w:tcPr>
            <w:tcW w:type="dxa" w:w="13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Recipe 3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共享视觉骨干 + 各自 BN/adapter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IMU/Skeleton TCN；Radar PointNet-TCN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6 token Tiny Transformer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参数小且能学习跨模态关系</w:t>
            </w:r>
          </w:p>
        </w:tc>
      </w:tr>
      <w:tr>
        <w:tc>
          <w:tcPr>
            <w:tcW w:type="dxa" w:w="13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Recipe 4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最强一到两路视觉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IMU + Skeleton</w:t>
            </w:r>
          </w:p>
        </w:tc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层次化 group fusion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删除弱/冗余分支，可能兼顾精度和效率</w:t>
            </w:r>
          </w:p>
        </w:tc>
      </w:tr>
    </w:tbl>
    <w:p>
      <w:pPr>
        <w:spacing w:after="0"/>
      </w:pPr>
    </w:p>
    <w:p>
      <w:pPr>
        <w:pStyle w:val="Heading1"/>
      </w:pPr>
      <w:r>
        <w:t>4. 训练策略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489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设置</w:t>
            </w:r>
          </w:p>
        </w:tc>
        <w:tc>
          <w:tcPr>
            <w:tcW w:type="dxa" w:w="280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何时使用</w:t>
            </w:r>
          </w:p>
        </w:tc>
      </w:tr>
      <w:tr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Warm start</w:t>
            </w:r>
          </w:p>
        </w:tc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加载单模态 checkpoint；先冻结 encoder 3–5 epoch，只训练 projection/fusion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首个联合模型，降低不稳定</w:t>
            </w:r>
          </w:p>
        </w:tc>
      </w:tr>
      <w:tr>
        <w:tc>
          <w:tcPr>
            <w:tcW w:type="dxa" w:w="19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逐步解冻</w:t>
            </w:r>
          </w:p>
        </w:tc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视觉 backbone 后层 → 全部；数值分支可直接训练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联合头开始收敛后</w:t>
            </w:r>
          </w:p>
        </w:tc>
      </w:tr>
      <w:tr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统一低学习率</w:t>
            </w:r>
          </w:p>
        </w:tc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encoder lr=1e-4；fusion lr=3e-4/1e-3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预训练/单模态初始化</w:t>
            </w:r>
          </w:p>
        </w:tc>
      </w:tr>
      <w:tr>
        <w:tc>
          <w:tcPr>
            <w:tcW w:type="dxa" w:w="19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辅助损失</w:t>
            </w:r>
          </w:p>
        </w:tc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 = L_fusion + λΣL_modal；λ=0.1/0.2/0.3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防止分支失去判别能力</w:t>
            </w:r>
          </w:p>
        </w:tc>
      </w:tr>
      <w:tr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Modality dropout</w:t>
            </w:r>
          </w:p>
        </w:tc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随机屏蔽 1–2 路，p=0.1–0.3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从第二轮联合训练开始</w:t>
            </w:r>
          </w:p>
        </w:tc>
      </w:tr>
      <w:tr>
        <w:tc>
          <w:tcPr>
            <w:tcW w:type="dxa" w:w="19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冻结 BatchNorm</w:t>
            </w:r>
          </w:p>
        </w:tc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小 batch 时冻结 running stats 或用 GroupNorm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三视觉分支/共享骨干不稳定时</w:t>
            </w:r>
          </w:p>
        </w:tc>
      </w:tr>
    </w:tbl>
    <w:p>
      <w:pPr>
        <w:spacing w:after="0"/>
      </w:pPr>
    </w:p>
    <w:p>
      <w:pPr>
        <w:pStyle w:val="Heading1"/>
      </w:pPr>
      <w:r>
        <w:t>5. 投影和分类头参数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部件</w:t>
            </w:r>
          </w:p>
        </w:tc>
        <w:tc>
          <w:tcPr>
            <w:tcW w:type="dxa" w:w="338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首选</w:t>
            </w:r>
          </w:p>
        </w:tc>
        <w:tc>
          <w:tcPr>
            <w:tcW w:type="dxa" w:w="338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搜索范围</w:t>
            </w:r>
          </w:p>
        </w:tc>
      </w:tr>
      <w:tr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每模态投影维度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128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64/128/256</w:t>
            </w:r>
          </w:p>
        </w:tc>
      </w:tr>
      <w:tr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Projection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Linear → LayerNorm → GELU → Dropout(.1)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两层 MLP；BatchNorm</w:t>
            </w:r>
          </w:p>
        </w:tc>
      </w:tr>
      <w:tr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融合 MLP hidden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256 或 512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256/384/512/768</w:t>
            </w:r>
          </w:p>
        </w:tc>
      </w:tr>
      <w:tr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融合 dropout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0.3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0.1/0.2/0.3/0.5</w:t>
            </w:r>
          </w:p>
        </w:tc>
      </w:tr>
      <w:tr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Transformer layers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1–2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1/2/3</w:t>
            </w:r>
          </w:p>
        </w:tc>
      </w:tr>
      <w:tr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Transformer heads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2/4/8（需整除 d）</w:t>
            </w:r>
          </w:p>
        </w:tc>
      </w:tr>
      <w:tr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辅助损失 λ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0.2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0/0.1/0.2/0.3/0.5</w:t>
            </w:r>
          </w:p>
        </w:tc>
      </w:tr>
    </w:tbl>
    <w:p>
      <w:pPr>
        <w:spacing w:after="0"/>
      </w:pPr>
    </w:p>
    <w:p>
      <w:pPr>
        <w:pStyle w:val="Heading1"/>
      </w:pPr>
      <w:r>
        <w:t>6. 诊断联合模型是否“只看一支”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逐模态置零，记录 accuracy drop；若只去掉某一支才大幅下降，说明融合塌缩。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记录 gate/attention 平均权重及其按类别分布。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比较辅助头准确率与单模态模型；大幅退化说明分支被联合训练破坏。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比较 embedding cosine，相同模态是否全部塌缩到相同向量。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训练时随机屏蔽最强模态，检查其他分支能否学习。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至少一个中期融合模型在同等验证协议下优于晚期融合，或以更小总模型获得近似性能；消融表明至少两种模态对结果有实质贡献；模型大小仍留有 10% 以上安全余量。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