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6：时间对齐与时序建模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目标：从片段级融合升级到动作进程级建模，但只保留能稳定提升的复杂度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先用“归一化动作进度”将不同采样率的模态映射到固定时间 token，再比较 TCN、GRU 和 Tiny Transformer；逐步验证时间级信息是否超过简单池化。</w:t>
            </w:r>
          </w:p>
        </w:tc>
      </w:tr>
    </w:tbl>
    <w:p>
      <w:pPr>
        <w:spacing w:after="0"/>
      </w:pPr>
    </w:p>
    <w:p>
      <w:pPr>
        <w:pStyle w:val="Heading1"/>
      </w:pPr>
      <w:r>
        <w:t>1. 三个对齐层级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74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对齐要求</w:t>
            </w:r>
          </w:p>
        </w:tc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6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A0 片段级</w:t>
            </w:r>
          </w:p>
        </w:tc>
        <w:tc>
          <w:tcPr>
            <w:tcW w:type="dxa" w:w="37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每模态独立编码整个 clip → 单向量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只需 sample_id 对应</w:t>
            </w:r>
          </w:p>
        </w:tc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必须先完成</w:t>
            </w:r>
          </w:p>
        </w:tc>
      </w:tr>
      <w:tr>
        <w:tc>
          <w:tcPr>
            <w:tcW w:type="dxa" w:w="16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A1 归一化进度</w:t>
            </w:r>
          </w:p>
        </w:tc>
        <w:tc>
          <w:tcPr>
            <w:tcW w:type="dxa" w:w="37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把每段从 0%–100% 重采样为 T 个 token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无需精确毫秒同步</w:t>
            </w:r>
          </w:p>
        </w:tc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最高成功率的时间对齐</w:t>
            </w:r>
          </w:p>
        </w:tc>
      </w:tr>
      <w:tr>
        <w:tc>
          <w:tcPr>
            <w:tcW w:type="dxa" w:w="16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A2 时间戳对齐</w:t>
            </w:r>
          </w:p>
        </w:tc>
        <w:tc>
          <w:tcPr>
            <w:tcW w:type="dxa" w:w="37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按传感器时间戳插值到公共时间网格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时间戳可解析且时钟一致</w:t>
            </w:r>
          </w:p>
        </w:tc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数据确认后尝试</w:t>
            </w:r>
          </w:p>
        </w:tc>
      </w:tr>
      <w:tr>
        <w:tc>
          <w:tcPr>
            <w:tcW w:type="dxa" w:w="16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A3 动态对齐</w:t>
            </w:r>
          </w:p>
        </w:tc>
        <w:tc>
          <w:tcPr>
            <w:tcW w:type="dxa" w:w="37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DTW/可学习偏移/跨模态 attention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需可靠局部特征</w:t>
            </w:r>
          </w:p>
        </w:tc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最后尝试</w:t>
            </w:r>
          </w:p>
        </w:tc>
      </w:tr>
    </w:tbl>
    <w:p>
      <w:pPr>
        <w:spacing w:after="0"/>
      </w:pPr>
    </w:p>
    <w:p>
      <w:pPr>
        <w:pStyle w:val="Heading1"/>
      </w:pPr>
      <w:r>
        <w:t>2. 推荐统一 token 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87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快速值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主候选</w:t>
            </w:r>
          </w:p>
        </w:tc>
        <w:tc>
          <w:tcPr>
            <w:tcW w:type="dxa" w:w="345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视觉</w:t>
            </w:r>
          </w:p>
        </w:tc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8/12 帧 token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16/24/32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每帧 CNN embedding；不必把原始图像对齐到每个 IMU 点。</w:t>
            </w:r>
          </w:p>
        </w:tc>
      </w:tr>
      <w:tr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</w:t>
            </w:r>
          </w:p>
        </w:tc>
        <w:tc>
          <w:tcPr>
            <w:tcW w:type="dxa" w:w="18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 token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32/64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先用 stride CNN/patch embedding 把 256 序列压缩。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Radar</w:t>
            </w:r>
          </w:p>
        </w:tc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 token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32/48/64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每帧 PointNet/统计 embedding。</w:t>
            </w:r>
          </w:p>
        </w:tc>
      </w:tr>
      <w:tr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Skeleton</w:t>
            </w:r>
          </w:p>
        </w:tc>
        <w:tc>
          <w:tcPr>
            <w:tcW w:type="dxa" w:w="18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32/64 token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64/96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可先 TCN 下采样到 32 token 参与跨模态融合。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公共融合时间</w:t>
            </w:r>
          </w:p>
        </w:tc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16 token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16/32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所有模态插值/池化到同一 T；越大越贵且更依赖同步。</w:t>
            </w:r>
          </w:p>
        </w:tc>
      </w:tr>
    </w:tbl>
    <w:p>
      <w:pPr>
        <w:spacing w:after="0"/>
      </w:pPr>
    </w:p>
    <w:p>
      <w:pPr>
        <w:pStyle w:val="Heading1"/>
      </w:pPr>
      <w:r>
        <w:t>3. 时序模块候选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8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参数建议</w:t>
            </w:r>
          </w:p>
        </w:tc>
        <w:tc>
          <w:tcPr>
            <w:tcW w:type="dxa" w:w="25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</w:t>
            </w:r>
          </w:p>
        </w:tc>
        <w:tc>
          <w:tcPr>
            <w:tcW w:type="dxa" w:w="12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Temporal mean/max</w:t>
            </w:r>
          </w:p>
        </w:tc>
        <w:tc>
          <w:tcPr>
            <w:tcW w:type="dxa" w:w="38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无参数 / attention pooling hidden 64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强片段 baseline</w:t>
            </w:r>
          </w:p>
        </w:tc>
        <w:tc>
          <w:tcPr>
            <w:tcW w:type="dxa" w:w="12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最高</w:t>
            </w:r>
          </w:p>
        </w:tc>
      </w:tr>
      <w:tr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Depthwise TCN</w:t>
            </w:r>
          </w:p>
        </w:tc>
        <w:tc>
          <w:tcPr>
            <w:tcW w:type="dxa" w:w="38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2–4 层；kernel 3/5；dilation 1/2/4/8；d=128/256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视觉帧、IMU、Skeleton</w:t>
            </w:r>
          </w:p>
        </w:tc>
        <w:tc>
          <w:tcPr>
            <w:tcW w:type="dxa" w:w="12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最高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GRU/BiGRU</w:t>
            </w:r>
          </w:p>
        </w:tc>
        <w:tc>
          <w:tcPr>
            <w:tcW w:type="dxa" w:w="38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1–2 层；hidden 128/256；dropout .2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动作顺序明显、序列中等长度</w:t>
            </w:r>
          </w:p>
        </w:tc>
        <w:tc>
          <w:tcPr>
            <w:tcW w:type="dxa" w:w="12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中高</w:t>
            </w:r>
          </w:p>
        </w:tc>
      </w:tr>
      <w:tr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Tiny Transformer</w:t>
            </w:r>
          </w:p>
        </w:tc>
        <w:tc>
          <w:tcPr>
            <w:tcW w:type="dxa" w:w="38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 层；d=128/192；heads 4；ffn 256/384；dropout .1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长程关系、跨模态 token</w:t>
            </w:r>
          </w:p>
        </w:tc>
        <w:tc>
          <w:tcPr>
            <w:tcW w:type="dxa" w:w="12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中高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Temporal shift / 1D conv</w:t>
            </w:r>
          </w:p>
        </w:tc>
        <w:tc>
          <w:tcPr>
            <w:tcW w:type="dxa" w:w="38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shift fraction 1/8；kernel 3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极低成本视觉时序</w:t>
            </w:r>
          </w:p>
        </w:tc>
        <w:tc>
          <w:tcPr>
            <w:tcW w:type="dxa" w:w="12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</w:t>
            </w:r>
          </w:p>
        </w:tc>
      </w:tr>
      <w:tr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Cross-modal temporal attention</w:t>
            </w:r>
          </w:p>
        </w:tc>
        <w:tc>
          <w:tcPr>
            <w:tcW w:type="dxa" w:w="38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先按模态编码，再 1–2 层 cross attention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精细对齐充分时</w:t>
            </w:r>
          </w:p>
        </w:tc>
        <w:tc>
          <w:tcPr>
            <w:tcW w:type="dxa" w:w="12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低，最后尝试</w:t>
            </w:r>
          </w:p>
        </w:tc>
      </w:tr>
    </w:tbl>
    <w:p>
      <w:pPr>
        <w:spacing w:after="0"/>
      </w:pPr>
    </w:p>
    <w:p>
      <w:pPr>
        <w:pStyle w:val="Heading1"/>
      </w:pPr>
      <w:r>
        <w:t>4. 推荐实验阶梯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1. </w:t>
      </w:r>
      <w:r>
        <w:rPr>
          <w:rFonts w:ascii="Noto Sans CJK SC" w:hAnsi="Noto Sans CJK SC" w:eastAsia="Noto Sans CJK SC"/>
        </w:rPr>
        <w:t>视觉 mean pooling → mean+max → TCN；只要 TCN 在多折稳定提升才保留。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2. </w:t>
      </w:r>
      <w:r>
        <w:rPr>
          <w:rFonts w:ascii="Noto Sans CJK SC" w:hAnsi="Noto Sans CJK SC" w:eastAsia="Noto Sans CJK SC"/>
        </w:rPr>
        <w:t>IMU/Skeleton 比较 TCN 与 BiGRU；固定相同 embedding 和训练预算。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3. </w:t>
      </w:r>
      <w:r>
        <w:rPr>
          <w:rFonts w:ascii="Noto Sans CJK SC" w:hAnsi="Noto Sans CJK SC" w:eastAsia="Noto Sans CJK SC"/>
        </w:rPr>
        <w:t>将所有模态压缩成 16 或 32 个公共 token，先做同时间索引拼接 + TCN。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4. </w:t>
      </w:r>
      <w:r>
        <w:rPr>
          <w:rFonts w:ascii="Noto Sans CJK SC" w:hAnsi="Noto Sans CJK SC" w:eastAsia="Noto Sans CJK SC"/>
        </w:rPr>
        <w:t>再用 6 模态 token 的 Transformer；不要一开始展开成 6×T 大序列。</w:t>
      </w:r>
    </w:p>
    <w:p>
      <w:pPr>
        <w:ind w:left="288" w:hanging="288"/>
      </w:pPr>
      <w:r>
        <w:rPr>
          <w:rFonts w:ascii="Noto Sans CJK SC" w:hAnsi="Noto Sans CJK SC" w:eastAsia="Noto Sans CJK SC"/>
          <w:b/>
          <w:color w:val="1F4E78"/>
        </w:rPr>
        <w:t xml:space="preserve">5. </w:t>
      </w:r>
      <w:r>
        <w:rPr>
          <w:rFonts w:ascii="Noto Sans CJK SC" w:hAnsi="Noto Sans CJK SC" w:eastAsia="Noto Sans CJK SC"/>
        </w:rPr>
        <w:t>最后比较时间戳对齐与归一化进度对齐；若无提升，保留简单方案。</w:t>
      </w:r>
    </w:p>
    <w:p>
      <w:pPr>
        <w:pStyle w:val="Heading1"/>
      </w:pPr>
      <w:r>
        <w:t>5. 时间增强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</w:t>
            </w:r>
          </w:p>
        </w:tc>
        <w:tc>
          <w:tcPr>
            <w:tcW w:type="dxa" w:w="244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适用模态</w:t>
            </w:r>
          </w:p>
        </w:tc>
        <w:tc>
          <w:tcPr>
            <w:tcW w:type="dxa" w:w="25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随机时间裁剪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 80%–100% 片段再重采样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全部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裁掉动作关键阶段时需限制强度</w:t>
            </w:r>
          </w:p>
        </w:tc>
      </w:tr>
      <w:tr>
        <w:tc>
          <w:tcPr>
            <w:tcW w:type="dxa" w:w="18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速度扰动</w:t>
            </w:r>
          </w:p>
        </w:tc>
        <w:tc>
          <w:tcPr>
            <w:tcW w:type="dxa" w:w="24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0.9–1.1；强实验 0.8–1.2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IMU/Skeleton/Radar/视频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改变动作类别语义的快慢动作需谨慎</w:t>
            </w:r>
          </w:p>
        </w:tc>
      </w:tr>
      <w:tr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随机帧丢弃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5%–15%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视觉/Radar/Skeleton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短片段不宜过强</w:t>
            </w:r>
          </w:p>
        </w:tc>
      </w:tr>
      <w:tr>
        <w:tc>
          <w:tcPr>
            <w:tcW w:type="dxa" w:w="187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时间平移</w:t>
            </w:r>
          </w:p>
        </w:tc>
        <w:tc>
          <w:tcPr>
            <w:tcW w:type="dxa" w:w="24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±5%–10%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数值序列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padding mask 必须同步</w:t>
            </w:r>
          </w:p>
        </w:tc>
      </w:tr>
      <w:tr>
        <w:tc>
          <w:tcPr>
            <w:tcW w:type="dxa" w:w="187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局部遮挡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随机连续 5%–10% token 置零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IMU/Skeleton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需提供 mask 或缺失标记</w:t>
            </w:r>
          </w:p>
        </w:tc>
      </w:tr>
    </w:tbl>
    <w:p>
      <w:pPr>
        <w:spacing w:after="0"/>
      </w:pPr>
    </w:p>
    <w:p>
      <w:pPr>
        <w:pStyle w:val="Heading1"/>
      </w:pPr>
      <w:r>
        <w:t>6. 对齐质量检查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随机样本同时绘制 skeleton 高度、IMU 能量、Radar 速度和图像帧索引，检查动作峰值是否大致对应。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比较正序与打乱时间顺序的验证性能；若几乎不变，模型可能没有利用时间。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比较正常对齐与随机错位模态；若性能不变，精细跨模态时序融合没有发挥作用。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记录每模态原始时长与重采样比例，检查极端拉伸样本。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至少一种时序模块相对简单池化在多个 fold 中有稳定增益；统一 token 和 mask 无错位；复杂时间对齐的收益足以覆盖计算与实现风险，否则回退到片段级融合。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