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6"/>
        </w:rPr>
        <w:t>阶段 7：缺失模态、噪声与跨受试者鲁棒性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3"/>
        </w:rPr>
        <w:t>目标：模型在传感器缺失、空帧、噪声和新受试者条件下保持稳定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版本 v0.1  |  2026-07-14  |  DOC-07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 xml:space="preserve">阶段目标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统一处理真实缺失和训练期模拟缺失；通过 modality mask、缺失 token、modality dropout 和传感器特定增强，减少模型对单一路径和个体习惯的依赖。</w:t>
            </w:r>
          </w:p>
        </w:tc>
      </w:tr>
    </w:tbl>
    <w:p>
      <w:pPr>
        <w:spacing w:after="0"/>
      </w:pPr>
    </w:p>
    <w:p>
      <w:pPr>
        <w:pStyle w:val="Heading1"/>
      </w:pPr>
      <w:r>
        <w:t>1. 缺失模态表示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30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532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</w:t>
            </w:r>
          </w:p>
        </w:tc>
        <w:tc>
          <w:tcPr>
            <w:tcW w:type="dxa" w:w="216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推荐程度</w:t>
            </w:r>
          </w:p>
        </w:tc>
      </w:tr>
      <w:tr>
        <w:tc>
          <w:tcPr>
            <w:tcW w:type="dxa" w:w="23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零向量 + mask</w:t>
            </w:r>
          </w:p>
        </w:tc>
        <w:tc>
          <w:tcPr>
            <w:tcW w:type="dxa" w:w="53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缺失 embedding=0；额外传入 6 维存在标记</w:t>
            </w:r>
          </w:p>
        </w:tc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最高；简单可靠</w:t>
            </w:r>
          </w:p>
        </w:tc>
      </w:tr>
      <w:tr>
        <w:tc>
          <w:tcPr>
            <w:tcW w:type="dxa" w:w="23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学习 missing token</w:t>
            </w:r>
          </w:p>
        </w:tc>
        <w:tc>
          <w:tcPr>
            <w:tcW w:type="dxa" w:w="53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每模态一个可学习缺失向量，并保留 mask</w:t>
            </w:r>
          </w:p>
        </w:tc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高；中期/注意力融合适用</w:t>
            </w:r>
          </w:p>
        </w:tc>
      </w:tr>
      <w:tr>
        <w:tc>
          <w:tcPr>
            <w:tcW w:type="dxa" w:w="23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跳过并重归一化</w:t>
            </w:r>
          </w:p>
        </w:tc>
        <w:tc>
          <w:tcPr>
            <w:tcW w:type="dxa" w:w="53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晚期融合只对可用模态重新归一化权重</w:t>
            </w:r>
          </w:p>
        </w:tc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必须支持</w:t>
            </w:r>
          </w:p>
        </w:tc>
      </w:tr>
      <w:tr>
        <w:tc>
          <w:tcPr>
            <w:tcW w:type="dxa" w:w="23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模态重建</w:t>
            </w:r>
          </w:p>
        </w:tc>
        <w:tc>
          <w:tcPr>
            <w:tcW w:type="dxa" w:w="53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用其他模态预测缺失 embedding</w:t>
            </w:r>
          </w:p>
        </w:tc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低；复杂且可能偏离分类目标</w:t>
            </w:r>
          </w:p>
        </w:tc>
      </w:tr>
    </w:tbl>
    <w:p>
      <w:pPr>
        <w:spacing w:after="0"/>
      </w:pPr>
    </w:p>
    <w:p>
      <w:pPr>
        <w:pStyle w:val="Heading1"/>
      </w:pPr>
      <w:r>
        <w:t>2. Modality Dropout 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30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172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概率</w:t>
            </w:r>
          </w:p>
        </w:tc>
        <w:tc>
          <w:tcPr>
            <w:tcW w:type="dxa" w:w="576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D0 无 dropout</w:t>
            </w:r>
          </w:p>
        </w:tc>
        <w:tc>
          <w:tcPr>
            <w:tcW w:type="dxa" w:w="17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57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用于建立上限和诊断。</w:t>
            </w:r>
          </w:p>
        </w:tc>
      </w:tr>
      <w:tr>
        <w:tc>
          <w:tcPr>
            <w:tcW w:type="dxa" w:w="23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D1 独立丢弃</w:t>
            </w:r>
          </w:p>
        </w:tc>
        <w:tc>
          <w:tcPr>
            <w:tcW w:type="dxa" w:w="17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每模态 p=0.1</w:t>
            </w:r>
          </w:p>
        </w:tc>
        <w:tc>
          <w:tcPr>
            <w:tcW w:type="dxa" w:w="57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最简单；确保至少保留 1 路。</w:t>
            </w:r>
          </w:p>
        </w:tc>
      </w:tr>
      <w:tr>
        <w:tc>
          <w:tcPr>
            <w:tcW w:type="dxa" w:w="23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D2 单模态随机缺失</w:t>
            </w:r>
          </w:p>
        </w:tc>
        <w:tc>
          <w:tcPr>
            <w:tcW w:type="dxa" w:w="17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每批 20% 样本随机去掉 1 路</w:t>
            </w:r>
          </w:p>
        </w:tc>
        <w:tc>
          <w:tcPr>
            <w:tcW w:type="dxa" w:w="57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贴近偶发传感器故障。</w:t>
            </w:r>
          </w:p>
        </w:tc>
      </w:tr>
      <w:tr>
        <w:tc>
          <w:tcPr>
            <w:tcW w:type="dxa" w:w="23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D3 多模态组合</w:t>
            </w:r>
          </w:p>
        </w:tc>
        <w:tc>
          <w:tcPr>
            <w:tcW w:type="dxa" w:w="17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10% 去 1 路，10% 去 2 路</w:t>
            </w:r>
          </w:p>
        </w:tc>
        <w:tc>
          <w:tcPr>
            <w:tcW w:type="dxa" w:w="57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强化鲁棒性，但可能降低全模态上限。</w:t>
            </w:r>
          </w:p>
        </w:tc>
      </w:tr>
      <w:tr>
        <w:tc>
          <w:tcPr>
            <w:tcW w:type="dxa" w:w="23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D4 强模态针对性</w:t>
            </w:r>
          </w:p>
        </w:tc>
        <w:tc>
          <w:tcPr>
            <w:tcW w:type="dxa" w:w="17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对最强视觉模态 p=0.2–0.4</w:t>
            </w:r>
          </w:p>
        </w:tc>
        <w:tc>
          <w:tcPr>
            <w:tcW w:type="dxa" w:w="57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防止融合塌缩；需观察全模态性能。</w:t>
            </w:r>
          </w:p>
        </w:tc>
      </w:tr>
    </w:tbl>
    <w:p>
      <w:pPr>
        <w:spacing w:after="0"/>
      </w:pPr>
    </w:p>
    <w:p>
      <w:pPr>
        <w:pStyle w:val="Heading1"/>
      </w:pPr>
      <w:r>
        <w:t>3. 模态特定噪声增强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4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模态</w:t>
            </w:r>
          </w:p>
        </w:tc>
        <w:tc>
          <w:tcPr>
            <w:tcW w:type="dxa" w:w="50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推荐增强</w:t>
            </w:r>
          </w:p>
        </w:tc>
        <w:tc>
          <w:tcPr>
            <w:tcW w:type="dxa" w:w="331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候选范围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Depth</w:t>
            </w:r>
          </w:p>
        </w:tc>
        <w:tc>
          <w:tcPr>
            <w:tcW w:type="dxa" w:w="50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轻微仿射、随机遮挡、深度风格噪声/模糊</w:t>
            </w:r>
          </w:p>
        </w:tc>
        <w:tc>
          <w:tcPr>
            <w:tcW w:type="dxa" w:w="33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遮挡 5%–15%；噪声小幅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IR</w:t>
            </w:r>
          </w:p>
        </w:tc>
        <w:tc>
          <w:tcPr>
            <w:tcW w:type="dxa" w:w="50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强度缩放、对比度、轻微噪声、遮挡</w:t>
            </w:r>
          </w:p>
        </w:tc>
        <w:tc>
          <w:tcPr>
            <w:tcW w:type="dxa" w:w="33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0.9–1.1；噪声 σ 0.01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Thermal</w:t>
            </w:r>
          </w:p>
        </w:tc>
        <w:tc>
          <w:tcPr>
            <w:tcW w:type="dxa" w:w="50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强度 offset/scale、局部热区遮挡</w:t>
            </w:r>
          </w:p>
        </w:tc>
        <w:tc>
          <w:tcPr>
            <w:tcW w:type="dxa" w:w="33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scale 0.9–1.1；避免改变人体/背景关系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IMU</w:t>
            </w:r>
          </w:p>
        </w:tc>
        <w:tc>
          <w:tcPr>
            <w:tcW w:type="dxa" w:w="50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高斯噪声、轴缩放、时间伸缩、通道 dropout</w:t>
            </w:r>
          </w:p>
        </w:tc>
        <w:tc>
          <w:tcPr>
            <w:tcW w:type="dxa" w:w="33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σ .005–.02；scale .9–1.1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Radar</w:t>
            </w:r>
          </w:p>
        </w:tc>
        <w:tc>
          <w:tcPr>
            <w:tcW w:type="dxa" w:w="50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随机点丢弃、空帧模拟、坐标/速度噪声</w:t>
            </w:r>
          </w:p>
        </w:tc>
        <w:tc>
          <w:tcPr>
            <w:tcW w:type="dxa" w:w="33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point drop 5%–20%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Skeleton</w:t>
            </w:r>
          </w:p>
        </w:tc>
        <w:tc>
          <w:tcPr>
            <w:tcW w:type="dxa" w:w="50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关节 dropout、坐标 jitter、尺度/旋转扰动</w:t>
            </w:r>
          </w:p>
        </w:tc>
        <w:tc>
          <w:tcPr>
            <w:tcW w:type="dxa" w:w="33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joint drop 5%–10%；小角度旋转</w:t>
            </w:r>
          </w:p>
        </w:tc>
      </w:tr>
    </w:tbl>
    <w:p>
      <w:pPr>
        <w:spacing w:after="0"/>
      </w:pPr>
    </w:p>
    <w:p>
      <w:pPr>
        <w:pStyle w:val="Heading1"/>
      </w:pPr>
      <w:r>
        <w:t>4. 跨受试者泛化策略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Skeleton 做 root/scale 归一化；视觉避免学习固定房间背景，可使用人物区域裁剪或较强空间增强。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IMU 按通道 z-score，并比较每用户归一化是否在推理不可用；默认只用训练集全局统计。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使用 label smoothing 0.05–0.1、weight decay、dropout 和 early stopping 控制过拟合。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对视觉分支尝试 background masking/随机背景扰动，但不得使用测试集人工标注。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监控 train-user 与 val-user gap；gap 过大时先加强标准化和增强，而不是继续加模型容量。</w:t>
      </w:r>
    </w:p>
    <w:p>
      <w:pPr>
        <w:pStyle w:val="Heading1"/>
      </w:pPr>
      <w:r>
        <w:t>5. 必须完成的压力测试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489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测试场景</w:t>
            </w:r>
          </w:p>
        </w:tc>
        <w:tc>
          <w:tcPr>
            <w:tcW w:type="dxa" w:w="489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48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完整六模态</w:t>
            </w:r>
          </w:p>
        </w:tc>
        <w:tc>
          <w:tcPr>
            <w:tcW w:type="dxa" w:w="48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主 accuracy / macro-F1</w:t>
            </w:r>
          </w:p>
        </w:tc>
      </w:tr>
      <w:tr>
        <w:tc>
          <w:tcPr>
            <w:tcW w:type="dxa" w:w="48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逐一缺失六种模态</w:t>
            </w:r>
          </w:p>
        </w:tc>
        <w:tc>
          <w:tcPr>
            <w:tcW w:type="dxa" w:w="48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6 行性能下降 Δ</w:t>
            </w:r>
          </w:p>
        </w:tc>
      </w:tr>
      <w:tr>
        <w:tc>
          <w:tcPr>
            <w:tcW w:type="dxa" w:w="48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只保留单一模态</w:t>
            </w:r>
          </w:p>
        </w:tc>
        <w:tc>
          <w:tcPr>
            <w:tcW w:type="dxa" w:w="48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检查联合编码器是否仍有判别能力</w:t>
            </w:r>
          </w:p>
        </w:tc>
      </w:tr>
      <w:tr>
        <w:tc>
          <w:tcPr>
            <w:tcW w:type="dxa" w:w="48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随机缺失 1 路 / 2 路</w:t>
            </w:r>
          </w:p>
        </w:tc>
        <w:tc>
          <w:tcPr>
            <w:tcW w:type="dxa" w:w="48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均值、最差 10% 样本</w:t>
            </w:r>
          </w:p>
        </w:tc>
      </w:tr>
      <w:tr>
        <w:tc>
          <w:tcPr>
            <w:tcW w:type="dxa" w:w="48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IMU 噪声、Radar 点丢失、Skeleton 关节缺失</w:t>
            </w:r>
          </w:p>
        </w:tc>
        <w:tc>
          <w:tcPr>
            <w:tcW w:type="dxa" w:w="48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鲁棒性曲线</w:t>
            </w:r>
          </w:p>
        </w:tc>
      </w:tr>
      <w:tr>
        <w:tc>
          <w:tcPr>
            <w:tcW w:type="dxa" w:w="48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新受试者最差 fold</w:t>
            </w:r>
          </w:p>
        </w:tc>
        <w:tc>
          <w:tcPr>
            <w:tcW w:type="dxa" w:w="48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逐类和逐用户错误分析</w:t>
            </w:r>
          </w:p>
        </w:tc>
      </w:tr>
    </w:tbl>
    <w:p>
      <w:pPr>
        <w:spacing w:after="0"/>
      </w:pPr>
    </w:p>
    <w:p>
      <w:pPr>
        <w:pStyle w:val="Heading1"/>
      </w:pPr>
      <w:r>
        <w:t>6. 选择原则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 xml:space="preserve">鲁棒性与满模态精度的权衡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若 modality dropout 让完整六模态 accuracy 降低不超过 0.3–0.5 个百分点，却显著改善缺失模态测试，则通常值得保留；若主分数明显下降且测试缺失率很低，应降低 dropout 强度。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8F5E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 xml:space="preserve">本阶段通过门槛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模型能对所有合法缺失组合返回预测；逐一缺失测试无 NaN/异常；最强单模态被移除时性能下降但不崩溃；鲁棒性策略在多个 fold 中有一致收益。</w:t>
            </w:r>
          </w:p>
        </w:tc>
      </w:tr>
    </w:tbl>
    <w:p>
      <w:pPr>
        <w:spacing w:after="0"/>
      </w:pPr>
    </w:p>
    <w:p>
      <w:pPr>
        <w:pStyle w:val="Heading1"/>
      </w:pPr>
      <w:r>
        <w:t>参考与规则来源</w:t>
      </w:r>
    </w:p>
    <w:p>
      <w:r>
        <w:t>以下来源用于核对比赛约束、数据结构与赛程；模型选择和参数范围属于本项目的实验建议，需要通过本地交叉验证决定。</w:t>
      </w:r>
    </w:p>
    <w:p>
      <w:pPr>
        <w:ind w:left="288"/>
      </w:pPr>
      <w:r>
        <w:t xml:space="preserve">• </w:t>
      </w:r>
      <w:hyperlink r:id="rId11">
        <w:r>
          <w:rPr>
            <w:rFonts w:ascii="Noto Sans CJK SC" w:hAnsi="Noto Sans CJK SC" w:eastAsia="Noto Sans CJK SC"/>
            <w:color w:val="1F4E78"/>
            <w:u w:val="single"/>
          </w:rPr>
          <w:t>CUHK-X Challenge official site</w:t>
        </w:r>
      </w:hyperlink>
    </w:p>
    <w:p>
      <w:pPr>
        <w:ind w:left="288"/>
      </w:pPr>
      <w:r>
        <w:t xml:space="preserve">• </w:t>
      </w:r>
      <w:hyperlink r:id="rId12">
        <w:r>
          <w:rPr>
            <w:rFonts w:ascii="Noto Sans CJK SC" w:hAnsi="Noto Sans CJK SC" w:eastAsia="Noto Sans CJK SC"/>
            <w:color w:val="1F4E78"/>
            <w:u w:val="single"/>
          </w:rPr>
          <w:t>CUHK-X project homepage</w:t>
        </w:r>
      </w:hyperlink>
    </w:p>
    <w:p>
      <w:pPr>
        <w:ind w:left="288"/>
      </w:pPr>
      <w:r>
        <w:t xml:space="preserve">• </w:t>
      </w:r>
      <w:hyperlink r:id="rId13">
        <w:r>
          <w:rPr>
            <w:rFonts w:ascii="Noto Sans CJK SC" w:hAnsi="Noto Sans CJK SC" w:eastAsia="Noto Sans CJK SC"/>
            <w:color w:val="1F4E78"/>
            <w:u w:val="single"/>
          </w:rPr>
          <w:t>CUHK-X official GitHub repository</w:t>
        </w:r>
      </w:hyperlink>
    </w:p>
    <w:p>
      <w:pPr>
        <w:ind w:left="288"/>
      </w:pPr>
      <w:r>
        <w:t xml:space="preserve">• </w:t>
      </w:r>
      <w:hyperlink r:id="rId14">
        <w:r>
          <w:rPr>
            <w:rFonts w:ascii="Noto Sans CJK SC" w:hAnsi="Noto Sans CJK SC" w:eastAsia="Noto Sans CJK SC"/>
            <w:color w:val="1F4E78"/>
            <w:u w:val="single"/>
          </w:rPr>
          <w:t>CUHK-X Small Model Track dataset card</w:t>
        </w:r>
      </w:hyperlink>
    </w:p>
    <w:p>
      <w:pPr>
        <w:ind w:left="288"/>
      </w:pPr>
      <w:r>
        <w:t xml:space="preserve">• </w:t>
      </w:r>
      <w:hyperlink r:id="rId15">
        <w:r>
          <w:rPr>
            <w:rFonts w:ascii="Noto Sans CJK SC" w:hAnsi="Noto Sans CJK SC" w:eastAsia="Noto Sans CJK SC"/>
            <w:color w:val="1F4E78"/>
            <w:u w:val="single"/>
          </w:rPr>
          <w:t>Kaggle Small Model Track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CUHK-X Small Model Track  |  项目规划文档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 w:right="216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otlab.github.io/CUHK-X-Challenge/" TargetMode="External"/><Relationship Id="rId12" Type="http://schemas.openxmlformats.org/officeDocument/2006/relationships/hyperlink" Target="https://openaiotlab.github.io/CUHK-X/" TargetMode="External"/><Relationship Id="rId13" Type="http://schemas.openxmlformats.org/officeDocument/2006/relationships/hyperlink" Target="https://github.com/openaiotlab/CUHK-X" TargetMode="External"/><Relationship Id="rId14" Type="http://schemas.openxmlformats.org/officeDocument/2006/relationships/hyperlink" Target="https://huggingface.co/datasets/Kevin-Pal/CUHK-X_Small_Model_Track/blob/main/README.md" TargetMode="External"/><Relationship Id="rId15" Type="http://schemas.openxmlformats.org/officeDocument/2006/relationships/hyperlink" Target="https://www.kaggle.com/competitions/cuhk-x-competition-small-model-track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