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8：轻量化、100 MB 约束与推理效率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目标：在不牺牲跨受试者稳定性的前提下，把最终模型安全控制在规则范围内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DOC-08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持续审计参数量、state_dict 文件大小、峰值内存和推理时间；优先通过架构设计减小模型，其次再考虑蒸馏、剪枝和量化。</w:t>
            </w:r>
          </w:p>
        </w:tc>
      </w:tr>
    </w:tbl>
    <w:p>
      <w:pPr>
        <w:spacing w:after="0"/>
      </w:pPr>
    </w:p>
    <w:p>
      <w:pPr>
        <w:pStyle w:val="Heading1"/>
      </w:pPr>
      <w:r>
        <w:t>1. 模型大小的安全预算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精度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理论字节/参数</w:t>
            </w:r>
          </w:p>
        </w:tc>
        <w:tc>
          <w:tcPr>
            <w:tcW w:type="dxa" w:w="30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100 MB 约等于</w:t>
            </w:r>
          </w:p>
        </w:tc>
        <w:tc>
          <w:tcPr>
            <w:tcW w:type="dxa" w:w="32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本项目建议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FP32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 25M 参数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 state_dict &lt;95 MB；参数尽量 &lt;23M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FP16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 50M 参数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只有规则确认按实际精度计量后使用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INT8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约 100M 参数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量化格式和运行环境需确认，不作为主安全线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不要只看参数量。PyTorch checkpoint 可能包含优化器、EMA、重复 key 等额外内容；提交时应保存纯 model.state_dict，并在规则指定格式下实测文件大小。</w:t>
            </w:r>
          </w:p>
        </w:tc>
      </w:tr>
    </w:tbl>
    <w:p>
      <w:pPr>
        <w:spacing w:after="0"/>
      </w:pPr>
    </w:p>
    <w:p>
      <w:pPr>
        <w:pStyle w:val="Heading1"/>
      </w:pPr>
      <w:r>
        <w:t>2. 推荐参数预算分配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部件</w:t>
            </w:r>
          </w:p>
        </w:tc>
        <w:tc>
          <w:tcPr>
            <w:tcW w:type="dxa" w:w="20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目标预算</w:t>
            </w:r>
          </w:p>
        </w:tc>
        <w:tc>
          <w:tcPr>
            <w:tcW w:type="dxa" w:w="48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设计建议</w:t>
            </w:r>
          </w:p>
        </w:tc>
      </w:tr>
      <w:tr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共享视觉骨干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3–6M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三种视觉共享主干，使用小 adapter 或独立 normalization。</w:t>
            </w:r>
          </w:p>
        </w:tc>
      </w:tr>
      <w:tr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IMU 编码器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0.3–2M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TCN/InceptionTime/GRU hidden 128。</w:t>
            </w:r>
          </w:p>
        </w:tc>
      </w:tr>
      <w:tr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Radar 编码器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0.3–2M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统计 TCN 或 PointNet-TCN。</w:t>
            </w:r>
          </w:p>
        </w:tc>
      </w:tr>
      <w:tr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Skeleton 编码器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0.5–3M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TCN/2D CNN/Tiny Transformer。</w:t>
            </w:r>
          </w:p>
        </w:tc>
      </w:tr>
      <w:tr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投影与融合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0.2–2M</w:t>
            </w:r>
          </w:p>
        </w:tc>
        <w:tc>
          <w:tcPr>
            <w:tcW w:type="dxa" w:w="48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D=128/256；1–2 层 MLP/Transformer。</w:t>
            </w:r>
          </w:p>
        </w:tc>
      </w:tr>
      <w:tr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总目标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8–18M</w:t>
            </w:r>
          </w:p>
        </w:tc>
        <w:tc>
          <w:tcPr>
            <w:tcW w:type="dxa" w:w="48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保留余量给模型组合或更强分支。</w:t>
            </w:r>
          </w:p>
        </w:tc>
      </w:tr>
    </w:tbl>
    <w:p>
      <w:pPr>
        <w:spacing w:after="0"/>
      </w:pPr>
    </w:p>
    <w:p>
      <w:pPr>
        <w:pStyle w:val="Heading1"/>
      </w:pPr>
      <w:r>
        <w:t>3. 轻量化优先级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典型收益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7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1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删除无增益模态/分支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直接降参数和计算，常提高稳健性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需基于消融而非直觉</w:t>
            </w:r>
          </w:p>
        </w:tc>
      </w:tr>
      <w:tr>
        <w:tc>
          <w:tcPr>
            <w:tcW w:type="dxa" w:w="7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2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三视觉共享 backbone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 3 份骨干降为 1 份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模态分布冲突；用 adapter/独立 BN</w:t>
            </w:r>
          </w:p>
        </w:tc>
      </w:tr>
      <w:tr>
        <w:tc>
          <w:tcPr>
            <w:tcW w:type="dxa" w:w="7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3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降低 embedding/hidden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线性减少融合参数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过小会损失细粒度类别</w:t>
            </w:r>
          </w:p>
        </w:tc>
      </w:tr>
      <w:tr>
        <w:tc>
          <w:tcPr>
            <w:tcW w:type="dxa" w:w="7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4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深度可分离卷积/瓶颈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显著减小 CNN/TCN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可能降低表达能力</w:t>
            </w:r>
          </w:p>
        </w:tc>
      </w:tr>
      <w:tr>
        <w:tc>
          <w:tcPr>
            <w:tcW w:type="dxa" w:w="7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5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知识蒸馏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学生接近大/集成教师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教师必须满足规则或得到组织者确认</w:t>
            </w:r>
          </w:p>
        </w:tc>
      </w:tr>
      <w:tr>
        <w:tc>
          <w:tcPr>
            <w:tcW w:type="dxa" w:w="7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6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结构化剪枝</w:t>
            </w:r>
          </w:p>
        </w:tc>
        <w:tc>
          <w:tcPr>
            <w:tcW w:type="dxa" w:w="31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减少通道和实际计算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需要 fine-tune 和真实部署验证</w:t>
            </w:r>
          </w:p>
        </w:tc>
      </w:tr>
      <w:tr>
        <w:tc>
          <w:tcPr>
            <w:tcW w:type="dxa" w:w="7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7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FP16/INT8 量化</w:t>
            </w:r>
          </w:p>
        </w:tc>
        <w:tc>
          <w:tcPr>
            <w:tcW w:type="dxa" w:w="31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减文件和内存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规则、精度和运行环境风险</w:t>
            </w:r>
          </w:p>
        </w:tc>
      </w:tr>
    </w:tbl>
    <w:p>
      <w:pPr>
        <w:spacing w:after="0"/>
      </w:pPr>
    </w:p>
    <w:p>
      <w:pPr>
        <w:pStyle w:val="Heading1"/>
      </w:pPr>
      <w:r>
        <w:t>4. 共享视觉骨干的候选设计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66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13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Shared-A</w:t>
            </w:r>
          </w:p>
        </w:tc>
        <w:tc>
          <w:tcPr>
            <w:tcW w:type="dxa" w:w="66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每模态独立 1×1/3×3 input adapter → 共享 MobileNetV3-S → 独立 temporal pooling</w:t>
            </w:r>
          </w:p>
        </w:tc>
        <w:tc>
          <w:tcPr>
            <w:tcW w:type="dxa" w:w="13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最高</w:t>
            </w:r>
          </w:p>
        </w:tc>
      </w:tr>
      <w:tr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Shared-B</w:t>
            </w:r>
          </w:p>
        </w:tc>
        <w:tc>
          <w:tcPr>
            <w:tcW w:type="dxa" w:w="66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共享卷积权重 + 每模态独立 BatchNorm/LayerNorm 参数</w:t>
            </w:r>
          </w:p>
        </w:tc>
        <w:tc>
          <w:tcPr>
            <w:tcW w:type="dxa" w:w="13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</w:t>
            </w:r>
          </w:p>
        </w:tc>
      </w:tr>
      <w:tr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Shared-C</w:t>
            </w:r>
          </w:p>
        </w:tc>
        <w:tc>
          <w:tcPr>
            <w:tcW w:type="dxa" w:w="66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前 1–2 stages 独立，后 stages 共享</w:t>
            </w:r>
          </w:p>
        </w:tc>
        <w:tc>
          <w:tcPr>
            <w:tcW w:type="dxa" w:w="13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中；更强但参数增加</w:t>
            </w:r>
          </w:p>
        </w:tc>
      </w:tr>
      <w:tr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Shared-D</w:t>
            </w:r>
          </w:p>
        </w:tc>
        <w:tc>
          <w:tcPr>
            <w:tcW w:type="dxa" w:w="66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三模态拼 batch，通过 modality embedding/FiLM 调制共享网络</w:t>
            </w:r>
          </w:p>
        </w:tc>
        <w:tc>
          <w:tcPr>
            <w:tcW w:type="dxa" w:w="13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中；实现复杂</w:t>
            </w:r>
          </w:p>
        </w:tc>
      </w:tr>
    </w:tbl>
    <w:p>
      <w:pPr>
        <w:spacing w:after="0"/>
      </w:pPr>
    </w:p>
    <w:p>
      <w:pPr>
        <w:pStyle w:val="Heading1"/>
      </w:pPr>
      <w:r>
        <w:t>5. 蒸馏方案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9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蒸馏对象</w:t>
            </w:r>
          </w:p>
        </w:tc>
        <w:tc>
          <w:tcPr>
            <w:tcW w:type="dxa" w:w="38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损失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30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单模态教师 → 小单模态学生</w:t>
            </w:r>
          </w:p>
        </w:tc>
        <w:tc>
          <w:tcPr>
            <w:tcW w:type="dxa" w:w="38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CE + KL(logits/T)，T=2/4；α=0.3–0.7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优先，简单可验证</w:t>
            </w:r>
          </w:p>
        </w:tc>
      </w:tr>
      <w:tr>
        <w:tc>
          <w:tcPr>
            <w:tcW w:type="dxa" w:w="30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晚期融合教师 → 联合学生</w:t>
            </w:r>
          </w:p>
        </w:tc>
        <w:tc>
          <w:tcPr>
            <w:tcW w:type="dxa" w:w="38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 soft targets + 真实标签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很适合把多个模型压成一个</w:t>
            </w:r>
          </w:p>
        </w:tc>
      </w:tr>
      <w:tr>
        <w:tc>
          <w:tcPr>
            <w:tcW w:type="dxa" w:w="309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多折/多 seed 教师 → 单学生</w:t>
            </w:r>
          </w:p>
        </w:tc>
        <w:tc>
          <w:tcPr>
            <w:tcW w:type="dxa" w:w="38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平均 logits 蒸馏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提高稳健性</w:t>
            </w:r>
          </w:p>
        </w:tc>
      </w:tr>
      <w:tr>
        <w:tc>
          <w:tcPr>
            <w:tcW w:type="dxa" w:w="309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特征蒸馏</w:t>
            </w:r>
          </w:p>
        </w:tc>
        <w:tc>
          <w:tcPr>
            <w:tcW w:type="dxa" w:w="38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MSE/cosine 对齐中间 embedding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只在维度和语义可匹配时使用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若比赛把“开发阶段使用大型预训练模型”也视为违规，则不能用不合规教师。安全路线是用本项目内、规则允许的模型或其 OOF/多折集成作为教师。</w:t>
            </w:r>
          </w:p>
        </w:tc>
      </w:tr>
    </w:tbl>
    <w:p>
      <w:pPr>
        <w:spacing w:after="0"/>
      </w:pPr>
    </w:p>
    <w:p>
      <w:pPr>
        <w:pStyle w:val="Heading1"/>
      </w:pPr>
      <w:r>
        <w:t>6. 自动尺寸与速度审计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每次保存 checkpoint 后自动记录：</w:t>
        <w:br/>
        <w:t>params_trainable, params_total, state_dict_fp32_mb, state_dict_fp16_mb,</w:t>
        <w:br/>
        <w:t>input_shapes, batch1_latency_ms, throughput, peak_gpu_mem_mb, peak_cpu_ram_mb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CI/训练脚本在 state_dict &gt;95 MB 时直接报警。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最终推理只加载模型权重，不加载 optimizer/scheduler。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导出前检查是否保存了重复 backbone 或 EMA 两份权重。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在目标环境执行至少 100 次 warmup 后测延迟。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保持一个“精度-大小-延迟”Pareto 表，避免只优化单指标。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最终候选在规则指定格式下实测小于 100 MB，并建议低于 95 MB；一键推理可在新环境加载；模型大小、延迟和内存都有自动报告；压缩前后精度损失被量化。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