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9：排列组合、超参数搜索与消融实验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目标：用分层实验设计寻找最优组合，而不是无序穷举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DOC-09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建立可执行的搜索空间、预算和停止规则；优先搜索高影响因素，使用 OOF 与多折验证避免偶然提升；最终形成可写入技术报告的消融证据。</w:t>
            </w:r>
          </w:p>
        </w:tc>
      </w:tr>
    </w:tbl>
    <w:p>
      <w:pPr>
        <w:spacing w:after="0"/>
      </w:pPr>
    </w:p>
    <w:p>
      <w:pPr>
        <w:pStyle w:val="Heading1"/>
      </w:pPr>
      <w:r>
        <w:t>1. 搜索顺序：从影响最大到最小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3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554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</w:t>
            </w:r>
          </w:p>
        </w:tc>
      </w:tr>
      <w:tr>
        <w:tc>
          <w:tcPr>
            <w:tcW w:type="dxa" w:w="11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P0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验证划分与数据正确性</w:t>
            </w:r>
          </w:p>
        </w:tc>
        <w:tc>
          <w:tcPr>
            <w:tcW w:type="dxa" w:w="55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固定 Group CV、检查泄漏/标签/缺失</w:t>
            </w:r>
          </w:p>
        </w:tc>
      </w:tr>
      <w:tr>
        <w:tc>
          <w:tcPr>
            <w:tcW w:type="dxa" w:w="11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P1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模态选择</w:t>
            </w:r>
          </w:p>
        </w:tc>
        <w:tc>
          <w:tcPr>
            <w:tcW w:type="dxa" w:w="55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三视觉、IMU+Skeleton、Top-K 模态、六模态</w:t>
            </w:r>
          </w:p>
        </w:tc>
      </w:tr>
      <w:tr>
        <w:tc>
          <w:tcPr>
            <w:tcW w:type="dxa" w:w="11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P1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单模态编码器</w:t>
            </w:r>
          </w:p>
        </w:tc>
        <w:tc>
          <w:tcPr>
            <w:tcW w:type="dxa" w:w="55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每模态前 2–3 个高质量模型</w:t>
            </w:r>
          </w:p>
        </w:tc>
      </w:tr>
      <w:tr>
        <w:tc>
          <w:tcPr>
            <w:tcW w:type="dxa" w:w="11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P2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输入长度/分辨率</w:t>
            </w:r>
          </w:p>
        </w:tc>
        <w:tc>
          <w:tcPr>
            <w:tcW w:type="dxa" w:w="55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视觉 8/12/16；IMU 128/256/512；Skeleton 64/96</w:t>
            </w:r>
          </w:p>
        </w:tc>
      </w:tr>
      <w:tr>
        <w:tc>
          <w:tcPr>
            <w:tcW w:type="dxa" w:w="11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P2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融合方式</w:t>
            </w:r>
          </w:p>
        </w:tc>
        <w:tc>
          <w:tcPr>
            <w:tcW w:type="dxa" w:w="55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uniform、weights、concat、gated、modality Transformer</w:t>
            </w:r>
          </w:p>
        </w:tc>
      </w:tr>
      <w:tr>
        <w:tc>
          <w:tcPr>
            <w:tcW w:type="dxa" w:w="11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P3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时序模块</w:t>
            </w:r>
          </w:p>
        </w:tc>
        <w:tc>
          <w:tcPr>
            <w:tcW w:type="dxa" w:w="55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mean、TCN、GRU、Tiny Transformer</w:t>
            </w:r>
          </w:p>
        </w:tc>
      </w:tr>
      <w:tr>
        <w:tc>
          <w:tcPr>
            <w:tcW w:type="dxa" w:w="11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P3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正则与增强</w:t>
            </w:r>
          </w:p>
        </w:tc>
        <w:tc>
          <w:tcPr>
            <w:tcW w:type="dxa" w:w="554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dropout、weight decay、label smoothing、modality dropout</w:t>
            </w:r>
          </w:p>
        </w:tc>
      </w:tr>
      <w:tr>
        <w:tc>
          <w:tcPr>
            <w:tcW w:type="dxa" w:w="11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P4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细节参数</w:t>
            </w:r>
          </w:p>
        </w:tc>
        <w:tc>
          <w:tcPr>
            <w:tcW w:type="dxa" w:w="554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kernel、heads、hidden、温度、辅助损失 λ</w:t>
            </w:r>
          </w:p>
        </w:tc>
      </w:tr>
    </w:tbl>
    <w:p>
      <w:pPr>
        <w:spacing w:after="0"/>
      </w:pPr>
    </w:p>
    <w:p>
      <w:pPr>
        <w:pStyle w:val="Heading1"/>
      </w:pPr>
      <w:r>
        <w:t>2. 推荐搜索空间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1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离散候选</w:t>
            </w:r>
          </w:p>
        </w:tc>
        <w:tc>
          <w:tcPr>
            <w:tcW w:type="dxa" w:w="280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首选搜索方法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视觉 backbone</w:t>
            </w:r>
          </w:p>
        </w:tc>
        <w:tc>
          <w:tcPr>
            <w:tcW w:type="dxa" w:w="51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/ ShuffleNetV2 / EffNet-B0 / ResNet18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V1 快筛后 V2 比较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视觉 frames</w:t>
            </w:r>
          </w:p>
        </w:tc>
        <w:tc>
          <w:tcPr>
            <w:tcW w:type="dxa" w:w="51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 / 12 / 16 / 24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逐级增加，早停低收益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视觉 resolution</w:t>
            </w:r>
          </w:p>
        </w:tc>
        <w:tc>
          <w:tcPr>
            <w:tcW w:type="dxa" w:w="51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160 / 192 / 224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与 frames 做小型二维网格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数值长度</w:t>
            </w:r>
          </w:p>
        </w:tc>
        <w:tc>
          <w:tcPr>
            <w:tcW w:type="dxa" w:w="51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128 / 256 / 512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按模态分别搜索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embedding dim</w:t>
            </w:r>
          </w:p>
        </w:tc>
        <w:tc>
          <w:tcPr>
            <w:tcW w:type="dxa" w:w="51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64 / 128 / 256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联合模型网格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fusion dropout</w:t>
            </w:r>
          </w:p>
        </w:tc>
        <w:tc>
          <w:tcPr>
            <w:tcW w:type="dxa" w:w="51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0.1 / 0.2 / 0.3 / 0.5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Optuna/TPE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modality dropout</w:t>
            </w:r>
          </w:p>
        </w:tc>
        <w:tc>
          <w:tcPr>
            <w:tcW w:type="dxa" w:w="51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 / 0.1 / 0.2 / 0.3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压力测试共同选择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lr</w:t>
            </w:r>
          </w:p>
        </w:tc>
        <w:tc>
          <w:tcPr>
            <w:tcW w:type="dxa" w:w="51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1e-4 / 3e-4 / 1e-3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对数离散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weight decay</w:t>
            </w:r>
          </w:p>
        </w:tc>
        <w:tc>
          <w:tcPr>
            <w:tcW w:type="dxa" w:w="51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1e-5 / 1e-4 / 5e-4 / 1e-3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对数离散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aux λ</w:t>
            </w:r>
          </w:p>
        </w:tc>
        <w:tc>
          <w:tcPr>
            <w:tcW w:type="dxa" w:w="51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 / .1 / .2 / .3 / .5</w:t>
            </w:r>
          </w:p>
        </w:tc>
        <w:tc>
          <w:tcPr>
            <w:tcW w:type="dxa" w:w="28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网格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Transformer</w:t>
            </w:r>
          </w:p>
        </w:tc>
        <w:tc>
          <w:tcPr>
            <w:tcW w:type="dxa" w:w="51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layers 1/2/3；d 128/192/256；heads 4</w:t>
            </w:r>
          </w:p>
        </w:tc>
        <w:tc>
          <w:tcPr>
            <w:tcW w:type="dxa" w:w="28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只对稳定 baseline 搜索</w:t>
            </w:r>
          </w:p>
        </w:tc>
      </w:tr>
    </w:tbl>
    <w:p>
      <w:pPr>
        <w:spacing w:after="0"/>
      </w:pPr>
    </w:p>
    <w:p>
      <w:pPr>
        <w:pStyle w:val="Heading1"/>
      </w:pPr>
      <w:r>
        <w:t>3. 预算分层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预算</w:t>
            </w:r>
          </w:p>
        </w:tc>
        <w:tc>
          <w:tcPr>
            <w:tcW w:type="dxa" w:w="31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训练规模</w:t>
            </w:r>
          </w:p>
        </w:tc>
        <w:tc>
          <w:tcPr>
            <w:tcW w:type="dxa" w:w="30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30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保留规则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B0 Smoke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少量数据，1–3 epoch</w:t>
            </w:r>
          </w:p>
        </w:tc>
        <w:tc>
          <w:tcPr>
            <w:tcW w:type="dxa" w:w="30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代码/shape/速度</w:t>
            </w:r>
          </w:p>
        </w:tc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无错误即可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B1 Fast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V1，20–30 epoch，低分辨率</w:t>
            </w:r>
          </w:p>
        </w:tc>
        <w:tc>
          <w:tcPr>
            <w:tcW w:type="dxa" w:w="30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结构和输入粗筛</w:t>
            </w:r>
          </w:p>
        </w:tc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前 30% 或显著更小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B2 Standard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 完整 60–100 epoch</w:t>
            </w:r>
          </w:p>
        </w:tc>
        <w:tc>
          <w:tcPr>
            <w:tcW w:type="dxa" w:w="30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确认单 fold 增益</w:t>
            </w:r>
          </w:p>
        </w:tc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提升 ≥0.5pp 或更稳/更小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B3 CV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 折完整训练</w:t>
            </w:r>
          </w:p>
        </w:tc>
        <w:tc>
          <w:tcPr>
            <w:tcW w:type="dxa" w:w="30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可靠决策</w:t>
            </w:r>
          </w:p>
        </w:tc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均值和最差折均可接受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B4 Final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多 seed + 全训练用户</w:t>
            </w:r>
          </w:p>
        </w:tc>
        <w:tc>
          <w:tcPr>
            <w:tcW w:type="dxa" w:w="30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最终模型</w:t>
            </w:r>
          </w:p>
        </w:tc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只给 2–3 个方案</w:t>
            </w:r>
          </w:p>
        </w:tc>
      </w:tr>
    </w:tbl>
    <w:p>
      <w:pPr>
        <w:spacing w:after="0"/>
      </w:pPr>
    </w:p>
    <w:p>
      <w:pPr>
        <w:pStyle w:val="Heading1"/>
      </w:pPr>
      <w:r>
        <w:t>4. 必须完成的消融表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消融主题</w:t>
            </w:r>
          </w:p>
        </w:tc>
        <w:tc>
          <w:tcPr>
            <w:tcW w:type="dxa" w:w="770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对比</w:t>
            </w:r>
          </w:p>
        </w:tc>
      </w:tr>
      <w:tr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模态贡献</w:t>
            </w:r>
          </w:p>
        </w:tc>
        <w:tc>
          <w:tcPr>
            <w:tcW w:type="dxa" w:w="77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Top-1 模态、视觉三模态、IMU+Skeleton、Top-K、六模态；逐模态移除。</w:t>
            </w:r>
          </w:p>
        </w:tc>
      </w:tr>
      <w:tr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融合方式</w:t>
            </w:r>
          </w:p>
        </w:tc>
        <w:tc>
          <w:tcPr>
            <w:tcW w:type="dxa" w:w="77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uniform late、weighted late、concat mid、gated、Transformer。</w:t>
            </w:r>
          </w:p>
        </w:tc>
      </w:tr>
      <w:tr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时间建模</w:t>
            </w:r>
          </w:p>
        </w:tc>
        <w:tc>
          <w:tcPr>
            <w:tcW w:type="dxa" w:w="77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mean、TCN、GRU、Tiny Transformer。</w:t>
            </w:r>
          </w:p>
        </w:tc>
      </w:tr>
      <w:tr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对齐</w:t>
            </w:r>
          </w:p>
        </w:tc>
        <w:tc>
          <w:tcPr>
            <w:tcW w:type="dxa" w:w="77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片段级、归一化进度、时间戳。</w:t>
            </w:r>
          </w:p>
        </w:tc>
      </w:tr>
      <w:tr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鲁棒性</w:t>
            </w:r>
          </w:p>
        </w:tc>
        <w:tc>
          <w:tcPr>
            <w:tcW w:type="dxa" w:w="77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 modality dropout、不同 dropout 强度、缺失 token。</w:t>
            </w:r>
          </w:p>
        </w:tc>
      </w:tr>
      <w:tr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轻量化</w:t>
            </w:r>
          </w:p>
        </w:tc>
        <w:tc>
          <w:tcPr>
            <w:tcW w:type="dxa" w:w="77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独立视觉 backbone、共享 backbone、蒸馏/剪枝前后。</w:t>
            </w:r>
          </w:p>
        </w:tc>
      </w:tr>
      <w:tr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损失</w:t>
            </w:r>
          </w:p>
        </w:tc>
        <w:tc>
          <w:tcPr>
            <w:tcW w:type="dxa" w:w="77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CE、label smoothing、辅助单模态损失。</w:t>
            </w:r>
          </w:p>
        </w:tc>
      </w:tr>
      <w:tr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输入规模</w:t>
            </w:r>
          </w:p>
        </w:tc>
        <w:tc>
          <w:tcPr>
            <w:tcW w:type="dxa" w:w="77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frames/resolution/sequence length 对精度和延迟的影响。</w:t>
            </w:r>
          </w:p>
        </w:tc>
      </w:tr>
    </w:tbl>
    <w:p>
      <w:pPr>
        <w:spacing w:after="0"/>
      </w:pPr>
    </w:p>
    <w:p>
      <w:pPr>
        <w:pStyle w:val="Heading1"/>
      </w:pPr>
      <w:r>
        <w:t>5. 选择最终方案的综合分数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score_internal = mean_cv_accuracy</w:t>
        <w:br/>
        <w:t xml:space="preserve">                 - 0.25 * fold_std</w:t>
        <w:br/>
        <w:t xml:space="preserve">                 - 0.02 * max(0, size_mb - 85)</w:t>
        <w:br/>
        <w:t xml:space="preserve">                 - latency_penalty</w:t>
        <w:br/>
        <w:t># 系数只用于排序辅助，不替代原始指标表。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优先保留 Pareto 前沿：没有另一个模型同时更准、更小、更快。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排行榜提升若与 CV 方向冲突，不立刻接受；至少再做一个 fold/seed 验证。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小于 0.2–0.3pp 的单 fold 差异通常不足以证明结构更好。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记录失败实验和原因，避免数周后重复。</w:t>
      </w:r>
    </w:p>
    <w:p>
      <w:pPr>
        <w:pStyle w:val="Heading1"/>
      </w:pPr>
      <w:r>
        <w:t>6. 搜索停止规则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7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停止/转向条件</w:t>
            </w:r>
          </w:p>
        </w:tc>
      </w:tr>
      <w:tr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模型结构</w:t>
            </w:r>
          </w:p>
        </w:tc>
        <w:tc>
          <w:tcPr>
            <w:tcW w:type="dxa" w:w="77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连续 3 个更复杂候选未在 V1 提升 ≥0.5pp，停止加深，转向数据/融合。</w:t>
            </w:r>
          </w:p>
        </w:tc>
      </w:tr>
      <w:tr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输入分辨率</w:t>
            </w:r>
          </w:p>
        </w:tc>
        <w:tc>
          <w:tcPr>
            <w:tcW w:type="dxa" w:w="77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计算增加 &gt;40% 而增益 &lt;0.3pp，保留较小输入。</w:t>
            </w:r>
          </w:p>
        </w:tc>
      </w:tr>
      <w:tr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</w:t>
            </w:r>
          </w:p>
        </w:tc>
        <w:tc>
          <w:tcPr>
            <w:tcW w:type="dxa" w:w="77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复杂融合未超过校准加权晚期融合，回退并做模态选择。</w:t>
            </w:r>
          </w:p>
        </w:tc>
      </w:tr>
      <w:tr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时间对齐</w:t>
            </w:r>
          </w:p>
        </w:tc>
        <w:tc>
          <w:tcPr>
            <w:tcW w:type="dxa" w:w="77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随机错位与正常对齐性能接近，停止精细 cross-attention。</w:t>
            </w:r>
          </w:p>
        </w:tc>
      </w:tr>
      <w:tr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超参数</w:t>
            </w:r>
          </w:p>
        </w:tc>
        <w:tc>
          <w:tcPr>
            <w:tcW w:type="dxa" w:w="77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最佳 trial 在 20–30 次后不再提升，转入多折确认。</w:t>
            </w:r>
          </w:p>
        </w:tc>
      </w:tr>
      <w:tr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排行榜</w:t>
            </w:r>
          </w:p>
        </w:tc>
        <w:tc>
          <w:tcPr>
            <w:tcW w:type="dxa" w:w="77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公榜变化小且 CV 无支持，停止针对公榜调参。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最终模型的每个关键模块都能在消融表中找到收益证据；所有搜索基于固定验证和可追踪配置；候选数量已收敛到 2–3 个 Pareto 方案。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