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10：最终训练、集成、提交与复现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目标：把最佳实验转化为可提交、可重跑、可接受组织者验证的完整方案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DOC-10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确定 2–3 个最终候选，完成多折/多 seed 训练、测试推理、合法 CSV 生成、模型大小审计和从零复现演练；同时准备技术报告所需的表格与结论。</w:t>
            </w:r>
          </w:p>
        </w:tc>
      </w:tr>
    </w:tbl>
    <w:p>
      <w:pPr>
        <w:spacing w:after="0"/>
      </w:pPr>
    </w:p>
    <w:p>
      <w:pPr>
        <w:pStyle w:val="Heading1"/>
      </w:pPr>
      <w:r>
        <w:t>1. 最终候选的建议构成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</w:t>
            </w:r>
          </w:p>
        </w:tc>
        <w:tc>
          <w:tcPr>
            <w:tcW w:type="dxa" w:w="33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1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Final-A 稳健主模型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最佳 3 折均值、较低方差、完整六模态/Top-K 联合模型</w:t>
            </w:r>
          </w:p>
        </w:tc>
        <w:tc>
          <w:tcPr>
            <w:tcW w:type="dxa" w:w="41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共享视觉 backbone + 三个传感编码器 + gated/concat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Final-B 互补模型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错误模式与 A 不同</w:t>
            </w:r>
          </w:p>
        </w:tc>
        <w:tc>
          <w:tcPr>
            <w:tcW w:type="dxa" w:w="41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不同时间模块或晚期融合模型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Final-C 高效模型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较小/较快，防止现场环境限制</w:t>
            </w:r>
          </w:p>
        </w:tc>
        <w:tc>
          <w:tcPr>
            <w:tcW w:type="dxa" w:w="41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Top-3 模态 + 蒸馏学生</w:t>
            </w:r>
          </w:p>
        </w:tc>
      </w:tr>
    </w:tbl>
    <w:p>
      <w:pPr>
        <w:spacing w:after="0"/>
      </w:pPr>
    </w:p>
    <w:p>
      <w:pPr>
        <w:pStyle w:val="Heading1"/>
      </w:pPr>
      <w:r>
        <w:t>2. 最终训练方案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按选定超参数在所有 18 名训练受试者上训练最终权重。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epoch 可用各 fold best epoch 的中位数或在全量训练中预留小型内部监控集。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每个最终结构训练 2–3 个 seed；保存 logits 与 checkpoint。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若使用多折模型集成，确认“提交总模型大小”规则如何计算；不要假定只算单个文件。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保留一个单文件联合模型作为现场复现安全方案。</w:t>
      </w:r>
    </w:p>
    <w:p>
      <w:pPr>
        <w:pStyle w:val="Heading1"/>
      </w:pPr>
      <w:r>
        <w:t>3. 测试推理流程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python infer.py \</w:t>
        <w:br/>
        <w:t xml:space="preserve">  --data_dir &lt;small_model_track_test&gt; \</w:t>
        <w:br/>
        <w:t xml:space="preserve">  --manifest &lt;test_manifest.parquet&gt; \</w:t>
        <w:br/>
        <w:t xml:space="preserve">  --config configs/final.yaml \</w:t>
        <w:br/>
        <w:t xml:space="preserve">  --checkpoint checkpoints/model.pth \</w:t>
        <w:br/>
        <w:t xml:space="preserve">  --output submission.csv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74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行数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与 test.csv 完全一致；当前数据卡描述为 405 个测试 clip。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 顺序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 test.csv，而不是文件系统排序。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prediction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整数 0–39，无空值、无字符串 action_name。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重复/缺失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每个 sample_id 恰好一行。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缺失模态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 mask 正常推理，不因空目录退出。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确定性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相同 checkpoint 和配置重复推理输出一致。</w:t>
            </w:r>
          </w:p>
        </w:tc>
      </w:tr>
    </w:tbl>
    <w:p>
      <w:pPr>
        <w:spacing w:after="0"/>
      </w:pPr>
    </w:p>
    <w:p>
      <w:pPr>
        <w:pStyle w:val="Heading1"/>
      </w:pPr>
      <w:r>
        <w:t>4. 集成策略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496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52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限制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同结构多 seed</w:t>
            </w:r>
          </w:p>
        </w:tc>
        <w:tc>
          <w:tcPr>
            <w:tcW w:type="dxa" w:w="49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logit 平均；通常低风险提升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模型数量和总大小规则需确认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多折模型</w:t>
            </w:r>
          </w:p>
        </w:tc>
        <w:tc>
          <w:tcPr>
            <w:tcW w:type="dxa" w:w="49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fold 模型 logit 平均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现场推理时间增加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联合模型 + 晚期融合</w:t>
            </w:r>
          </w:p>
        </w:tc>
        <w:tc>
          <w:tcPr>
            <w:tcW w:type="dxa" w:w="49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利用错误互补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需确保全部模型合规</w:t>
            </w:r>
          </w:p>
        </w:tc>
      </w:tr>
      <w:tr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单模型 TTA</w:t>
            </w:r>
          </w:p>
        </w:tc>
        <w:tc>
          <w:tcPr>
            <w:tcW w:type="dxa" w:w="496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时间采样/轻微空间 crop 的 2–4 次平均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计算增加；不要使用会改变动作语义的 flip</w:t>
            </w:r>
          </w:p>
        </w:tc>
      </w:tr>
      <w:tr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蒸馏单模型</w:t>
            </w:r>
          </w:p>
        </w:tc>
        <w:tc>
          <w:tcPr>
            <w:tcW w:type="dxa" w:w="496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用集成预测训练一个小学生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通常是兼顾大小和精度的终局路线</w:t>
            </w:r>
          </w:p>
        </w:tc>
      </w:tr>
    </w:tbl>
    <w:p>
      <w:pPr>
        <w:spacing w:after="0"/>
      </w:pPr>
    </w:p>
    <w:p>
      <w:pPr>
        <w:pStyle w:val="Heading1"/>
      </w:pPr>
      <w:r>
        <w:t>5. 复现包建议结构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submission_package/</w:t>
        <w:br/>
        <w:t xml:space="preserve">  code/</w:t>
        <w:br/>
        <w:t xml:space="preserve">    train.py  infer.py  datasets/  models/  configs/  utils/</w:t>
        <w:br/>
        <w:t xml:space="preserve">  checkpoints/model.pth</w:t>
        <w:br/>
        <w:t xml:space="preserve">  inference.sh</w:t>
        <w:br/>
        <w:t xml:space="preserve">  requirements.txt / environment.yml</w:t>
        <w:br/>
        <w:t xml:space="preserve">  README.md</w:t>
        <w:br/>
        <w:t xml:space="preserve">  class_mapping.csv</w:t>
        <w:br/>
        <w:t xml:space="preserve">  model_card.md</w:t>
        <w:br/>
        <w:t xml:space="preserve">  checksums.txt</w:t>
      </w:r>
    </w:p>
    <w:p>
      <w:pPr>
        <w:pStyle w:val="Heading1"/>
      </w:pPr>
      <w:r>
        <w:t>6. 从零复现演练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在全新 conda/venv 或 Docker 环境安装依赖。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只给数据路径和 checkpoint，运行 inference.sh 生成 CSV。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在无网络环境测试，确保没有在线下载权重或调用 API。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 CPU/GPU 型号、CUDA/PyTorch 版本、运行时间和峰值内存。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用 SHA256 校验 checkpoint 和关键配置。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让另一名使用者仅根据 README 完成一次推理。</w:t>
      </w:r>
    </w:p>
    <w:p>
      <w:pPr>
        <w:pStyle w:val="Heading1"/>
      </w:pPr>
      <w:r>
        <w:t>7. 技术报告素材清单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74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需要提前保存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任务与约束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40 类、六模态、跨受试者、100 MB、架构限制。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数据审计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缺失率、长度分布、预处理示意。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单模态结果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六模态 accuracy/F1/size/latency。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融合结果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late/mid/attention、模态组合和权重。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消融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时间模块、对齐、modality dropout、共享骨干。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效率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参数、文件大小、延迟、内存、Pareto 图。</w:t>
            </w:r>
          </w:p>
        </w:tc>
      </w:tr>
      <w:tr>
        <w:tc>
          <w:tcPr>
            <w:tcW w:type="dxa" w:w="216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鲁棒性</w:t>
            </w:r>
          </w:p>
        </w:tc>
        <w:tc>
          <w:tcPr>
            <w:tcW w:type="dxa" w:w="74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逐模态缺失、最差用户/类别。</w:t>
            </w:r>
          </w:p>
        </w:tc>
      </w:tr>
      <w:tr>
        <w:tc>
          <w:tcPr>
            <w:tcW w:type="dxa" w:w="216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复现</w:t>
            </w:r>
          </w:p>
        </w:tc>
        <w:tc>
          <w:tcPr>
            <w:tcW w:type="dxa" w:w="74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命令、环境、随机种子、训练时间。</w:t>
            </w:r>
          </w:p>
        </w:tc>
      </w:tr>
    </w:tbl>
    <w:p>
      <w:pPr>
        <w:spacing w:after="0"/>
      </w:pPr>
    </w:p>
    <w:p>
      <w:pPr>
        <w:pStyle w:val="Heading1"/>
      </w:pPr>
      <w:r>
        <w:t>8. 提交前最终清单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Kaggle Rules 与组织者补充说明已重新核对。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最终模型文件按规则实测 &lt;100 MB，并保留安全余量。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没有大型预训练 backbone、闭源 API 或测试集人工标注。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submission.csv 行数、列名、ID、prediction 范围全部通过脚本校验。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每次提交都记录 experiment_id、checkpoint hash、融合权重和本地 CV。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代码能在干净环境、无网络条件下完成测试推理。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准备好单模型安全备份和最终集成版本。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提交不是终点：最终产物必须能被组织者在新数据和新环境中复现，且分数差距、模型大小、依赖和推理时间均在可解释范围内。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